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0EC5" w:rsidRPr="005323E4" w:rsidRDefault="00CC0EC5" w:rsidP="000058D9">
      <w:pPr>
        <w:spacing w:line="360" w:lineRule="auto"/>
        <w:jc w:val="both"/>
        <w:rPr>
          <w:rFonts w:ascii="Palatino Linotype" w:hAnsi="Palatino Linotype" w:cs="Arial"/>
        </w:rPr>
      </w:pPr>
      <w:r w:rsidRPr="005323E4">
        <w:rPr>
          <w:rFonts w:ascii="Palatino Linotype" w:hAnsi="Palatino Linotype" w:cs="Arial"/>
          <w:b/>
        </w:rPr>
        <w:t xml:space="preserve">VOTO </w:t>
      </w:r>
      <w:r>
        <w:rPr>
          <w:rFonts w:ascii="Palatino Linotype" w:hAnsi="Palatino Linotype" w:cs="Arial"/>
          <w:b/>
        </w:rPr>
        <w:t>DISIDENTE</w:t>
      </w:r>
      <w:r w:rsidRPr="005323E4">
        <w:rPr>
          <w:rFonts w:ascii="Palatino Linotype" w:hAnsi="Palatino Linotype" w:cs="Arial"/>
          <w:b/>
        </w:rPr>
        <w:t xml:space="preserve"> DEL COMISIONADO JOSÉ GUADALUPE LUNA HERNÁNDEZ EN EL RECURSO DE REVISIÓN 02</w:t>
      </w:r>
      <w:r w:rsidR="002C7947">
        <w:rPr>
          <w:rFonts w:ascii="Palatino Linotype" w:hAnsi="Palatino Linotype" w:cs="Arial"/>
          <w:b/>
        </w:rPr>
        <w:t>746</w:t>
      </w:r>
      <w:r w:rsidRPr="005323E4">
        <w:rPr>
          <w:rFonts w:ascii="Palatino Linotype" w:hAnsi="Palatino Linotype" w:cs="Arial"/>
          <w:b/>
        </w:rPr>
        <w:t>/INFOEM/IP/RR/2018.</w:t>
      </w:r>
    </w:p>
    <w:p w:rsidR="00F436A4" w:rsidRPr="004F719D" w:rsidRDefault="00F436A4" w:rsidP="000058D9">
      <w:pPr>
        <w:spacing w:line="360" w:lineRule="auto"/>
        <w:jc w:val="both"/>
        <w:rPr>
          <w:rFonts w:ascii="Palatino Linotype" w:hAnsi="Palatino Linotype" w:cs="Arial"/>
          <w:b/>
          <w:i/>
        </w:rPr>
      </w:pPr>
    </w:p>
    <w:p w:rsidR="00F436A4" w:rsidRDefault="003503B0" w:rsidP="000058D9">
      <w:pPr>
        <w:spacing w:line="360" w:lineRule="auto"/>
        <w:jc w:val="both"/>
        <w:rPr>
          <w:rFonts w:ascii="Palatino Linotype" w:hAnsi="Palatino Linotype" w:cs="Arial"/>
          <w:b/>
        </w:rPr>
      </w:pPr>
      <w:r w:rsidRPr="004F719D">
        <w:rPr>
          <w:rFonts w:ascii="Palatino Linotype" w:hAnsi="Palatino Linotype" w:cs="Arial"/>
          <w:b/>
        </w:rPr>
        <w:t>RESUMEN DEL VOTO</w:t>
      </w:r>
    </w:p>
    <w:p w:rsidR="0044164A" w:rsidRPr="004F719D" w:rsidRDefault="0044164A" w:rsidP="000058D9">
      <w:pPr>
        <w:spacing w:line="360" w:lineRule="auto"/>
        <w:jc w:val="both"/>
        <w:rPr>
          <w:rFonts w:ascii="Palatino Linotype" w:hAnsi="Palatino Linotype" w:cs="Arial"/>
          <w:b/>
          <w:bdr w:val="none" w:sz="0" w:space="0" w:color="auto"/>
        </w:rPr>
      </w:pPr>
    </w:p>
    <w:p w:rsidR="00CC0EC5" w:rsidRDefault="00CC0EC5" w:rsidP="000058D9">
      <w:pPr>
        <w:spacing w:line="360" w:lineRule="auto"/>
        <w:jc w:val="both"/>
        <w:rPr>
          <w:rFonts w:ascii="Palatino Linotype" w:hAnsi="Palatino Linotype" w:cs="Arial"/>
        </w:rPr>
      </w:pPr>
      <w:r w:rsidRPr="007F0A7B">
        <w:rPr>
          <w:rFonts w:ascii="Palatino Linotype" w:hAnsi="Palatino Linotype" w:cs="Arial"/>
        </w:rPr>
        <w:t xml:space="preserve">Para que </w:t>
      </w:r>
      <w:r>
        <w:rPr>
          <w:rFonts w:ascii="Palatino Linotype" w:hAnsi="Palatino Linotype" w:cs="Arial"/>
        </w:rPr>
        <w:t>el Sujeto Obligado</w:t>
      </w:r>
      <w:r w:rsidRPr="007F0A7B">
        <w:rPr>
          <w:rFonts w:ascii="Palatino Linotype" w:hAnsi="Palatino Linotype" w:cs="Arial"/>
        </w:rPr>
        <w:t xml:space="preserve"> </w:t>
      </w:r>
      <w:r>
        <w:rPr>
          <w:rFonts w:ascii="Palatino Linotype" w:hAnsi="Palatino Linotype" w:cs="Arial"/>
        </w:rPr>
        <w:t>determine clasificar la información como reservada</w:t>
      </w:r>
      <w:r w:rsidRPr="007F0A7B">
        <w:rPr>
          <w:rFonts w:ascii="Palatino Linotype" w:hAnsi="Palatino Linotype" w:cs="Arial"/>
        </w:rPr>
        <w:t>, es necesario</w:t>
      </w:r>
      <w:r>
        <w:rPr>
          <w:rFonts w:ascii="Palatino Linotype" w:hAnsi="Palatino Linotype" w:cs="Arial"/>
        </w:rPr>
        <w:t xml:space="preserve"> que éste actualice </w:t>
      </w:r>
      <w:r w:rsidRPr="007F0A7B">
        <w:rPr>
          <w:rFonts w:ascii="Palatino Linotype" w:hAnsi="Palatino Linotype" w:cs="Arial"/>
        </w:rPr>
        <w:t>cuatro requisitos,</w:t>
      </w:r>
      <w:r>
        <w:rPr>
          <w:rFonts w:ascii="Palatino Linotype" w:hAnsi="Palatino Linotype" w:cs="Arial"/>
        </w:rPr>
        <w:t xml:space="preserve"> de los cuales,</w:t>
      </w:r>
      <w:r w:rsidRPr="007F0A7B">
        <w:rPr>
          <w:rFonts w:ascii="Palatino Linotype" w:hAnsi="Palatino Linotype" w:cs="Arial"/>
        </w:rPr>
        <w:t xml:space="preserve"> si alguno de estos faltase, </w:t>
      </w:r>
      <w:r>
        <w:rPr>
          <w:rFonts w:ascii="Palatino Linotype" w:hAnsi="Palatino Linotype" w:cs="Arial"/>
        </w:rPr>
        <w:t>no es procedente su reserva, para esto, es menester que se realice un estudio minucioso de la información</w:t>
      </w:r>
      <w:r w:rsidRPr="009A406D">
        <w:rPr>
          <w:rFonts w:ascii="Palatino Linotype" w:hAnsi="Palatino Linotype" w:cs="Arial"/>
        </w:rPr>
        <w:t xml:space="preserve">, </w:t>
      </w:r>
      <w:r>
        <w:rPr>
          <w:rFonts w:ascii="Palatino Linotype" w:hAnsi="Palatino Linotype" w:cs="Arial"/>
        </w:rPr>
        <w:t>ajustando en todo momento</w:t>
      </w:r>
      <w:r w:rsidRPr="009A406D">
        <w:rPr>
          <w:rFonts w:ascii="Palatino Linotype" w:hAnsi="Palatino Linotype" w:cs="Arial"/>
        </w:rPr>
        <w:t xml:space="preserve"> </w:t>
      </w:r>
      <w:r>
        <w:rPr>
          <w:rFonts w:ascii="Palatino Linotype" w:hAnsi="Palatino Linotype" w:cs="Arial"/>
        </w:rPr>
        <w:t xml:space="preserve">las </w:t>
      </w:r>
      <w:r w:rsidRPr="009A406D">
        <w:rPr>
          <w:rFonts w:ascii="Palatino Linotype" w:hAnsi="Palatino Linotype" w:cs="Arial"/>
        </w:rPr>
        <w:t>circunstancias de modo tiempo y lugar a la hipótesis qu</w:t>
      </w:r>
      <w:r>
        <w:rPr>
          <w:rFonts w:ascii="Palatino Linotype" w:hAnsi="Palatino Linotype" w:cs="Arial"/>
        </w:rPr>
        <w:t xml:space="preserve">e configura la clasificación. </w:t>
      </w:r>
    </w:p>
    <w:p w:rsidR="00CC0EC5" w:rsidRDefault="00CC0EC5" w:rsidP="000058D9">
      <w:pPr>
        <w:spacing w:line="360" w:lineRule="auto"/>
        <w:jc w:val="both"/>
        <w:rPr>
          <w:rFonts w:ascii="Palatino Linotype" w:hAnsi="Palatino Linotype" w:cs="Arial"/>
        </w:rPr>
      </w:pPr>
    </w:p>
    <w:p w:rsidR="00CC0EC5" w:rsidRDefault="00CC0EC5" w:rsidP="000058D9">
      <w:pPr>
        <w:spacing w:line="360" w:lineRule="auto"/>
        <w:jc w:val="both"/>
        <w:rPr>
          <w:rFonts w:ascii="Palatino Linotype" w:hAnsi="Palatino Linotype" w:cs="Arial"/>
        </w:rPr>
      </w:pPr>
      <w:r>
        <w:rPr>
          <w:rFonts w:ascii="Palatino Linotype" w:hAnsi="Palatino Linotype" w:cs="Arial"/>
        </w:rPr>
        <w:t xml:space="preserve">Invocar la normatividad donde se prevea la reserva y realizar un estudio de los ordenamientos jurídicos que contienen la figura,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Pr="009A406D" w:rsidRDefault="00CC0EC5" w:rsidP="000058D9">
      <w:pPr>
        <w:spacing w:line="360" w:lineRule="auto"/>
        <w:jc w:val="both"/>
        <w:rPr>
          <w:rFonts w:ascii="Palatino Linotype" w:hAnsi="Palatino Linotype" w:cs="Arial"/>
        </w:rPr>
      </w:pPr>
    </w:p>
    <w:p w:rsidR="00F436A4" w:rsidRDefault="00CC0EC5" w:rsidP="000058D9">
      <w:pPr>
        <w:spacing w:line="360" w:lineRule="auto"/>
        <w:jc w:val="both"/>
        <w:rPr>
          <w:rFonts w:ascii="Palatino Linotype" w:hAnsi="Palatino Linotype" w:cs="Arial"/>
        </w:rPr>
      </w:pPr>
      <w:r>
        <w:rPr>
          <w:rFonts w:ascii="Palatino Linotype" w:hAnsi="Palatino Linotype" w:cs="Arial"/>
        </w:rPr>
        <w:t>Por otra parte el Órgano Garante a fin de hacer efectivo el Derecho de Acceso de la Información y a través de las facultades que le confiere la ley, debe determinar la naturaleza de la información que se pretende reservar a través de la celebración de diligencias, que le permitan dar mayor certeza a las resoluciones emitidas.</w:t>
      </w:r>
    </w:p>
    <w:p w:rsidR="00CC0EC5" w:rsidRPr="00CC0EC5" w:rsidRDefault="00CC0EC5" w:rsidP="000058D9">
      <w:pPr>
        <w:spacing w:line="360" w:lineRule="auto"/>
        <w:jc w:val="both"/>
        <w:rPr>
          <w:rFonts w:ascii="Palatino Linotype" w:hAnsi="Palatino Linotype" w:cs="Arial"/>
        </w:rPr>
      </w:pPr>
    </w:p>
    <w:sdt>
      <w:sdtPr>
        <w:rPr>
          <w:rFonts w:ascii="Palatino Linotype" w:hAnsi="Palatino Linotype"/>
          <w:color w:val="2E74B5" w:themeColor="accent1" w:themeShade="BF"/>
          <w:lang w:val="es-ES"/>
        </w:rPr>
        <w:id w:val="-1382787339"/>
        <w:docPartObj>
          <w:docPartGallery w:val="Table of Contents"/>
          <w:docPartUnique/>
        </w:docPartObj>
      </w:sdtPr>
      <w:sdtEndPr>
        <w:rPr>
          <w:b/>
          <w:bCs/>
          <w:color w:val="000000" w:themeColor="text1"/>
          <w:lang w:val="es-MX"/>
        </w:rPr>
      </w:sdtEndPr>
      <w:sdtContent>
        <w:p w:rsidR="00F436A4" w:rsidRPr="004F719D" w:rsidRDefault="00F436A4" w:rsidP="000058D9">
          <w:pPr>
            <w:spacing w:line="360" w:lineRule="auto"/>
            <w:rPr>
              <w:rFonts w:ascii="Palatino Linotype" w:hAnsi="Palatino Linotype"/>
              <w:color w:val="2E74B5" w:themeColor="accent1" w:themeShade="BF"/>
              <w:lang w:val="es-ES"/>
            </w:rPr>
          </w:pPr>
        </w:p>
        <w:p w:rsidR="00F436A4" w:rsidRPr="004F719D" w:rsidRDefault="00075028" w:rsidP="000058D9">
          <w:pPr>
            <w:spacing w:line="360" w:lineRule="auto"/>
            <w:jc w:val="center"/>
            <w:rPr>
              <w:rFonts w:ascii="Palatino Linotype" w:hAnsi="Palatino Linotype"/>
              <w:b/>
              <w:color w:val="000000" w:themeColor="text1"/>
              <w:lang w:val="es-ES"/>
            </w:rPr>
          </w:pPr>
          <w:r w:rsidRPr="004F719D">
            <w:rPr>
              <w:rFonts w:ascii="Palatino Linotype" w:hAnsi="Palatino Linotype"/>
              <w:b/>
              <w:color w:val="000000" w:themeColor="text1"/>
              <w:lang w:val="es-ES"/>
            </w:rPr>
            <w:t>ÍNDICE</w:t>
          </w:r>
        </w:p>
        <w:p w:rsidR="00F436A4" w:rsidRPr="004F719D" w:rsidRDefault="00F436A4" w:rsidP="000058D9">
          <w:pPr>
            <w:spacing w:line="360" w:lineRule="auto"/>
            <w:rPr>
              <w:rFonts w:ascii="Palatino Linotype" w:hAnsi="Palatino Linotype"/>
              <w:b/>
              <w:lang w:val="es-ES" w:eastAsia="es-MX"/>
            </w:rPr>
          </w:pPr>
        </w:p>
        <w:p w:rsidR="004A456D" w:rsidRDefault="00B82DF9" w:rsidP="000058D9">
          <w:pPr>
            <w:pStyle w:val="TDC1"/>
            <w:rPr>
              <w:rFonts w:asciiTheme="minorHAnsi" w:eastAsiaTheme="minorEastAsia" w:hAnsiTheme="minorHAnsi" w:cstheme="minorBidi"/>
              <w:noProof/>
              <w:sz w:val="22"/>
              <w:szCs w:val="22"/>
              <w:bdr w:val="none" w:sz="0" w:space="0" w:color="auto"/>
              <w:lang w:eastAsia="es-MX"/>
            </w:rPr>
          </w:pPr>
          <w:r w:rsidRPr="00075028">
            <w:rPr>
              <w:b/>
            </w:rPr>
            <w:fldChar w:fldCharType="begin"/>
          </w:r>
          <w:r w:rsidRPr="00075028">
            <w:rPr>
              <w:b/>
            </w:rPr>
            <w:instrText xml:space="preserve"> TOC \o "1-3" \h \z \u </w:instrText>
          </w:r>
          <w:r w:rsidRPr="00075028">
            <w:rPr>
              <w:b/>
            </w:rPr>
            <w:fldChar w:fldCharType="separate"/>
          </w:r>
          <w:hyperlink w:anchor="_Toc527374606" w:history="1">
            <w:r w:rsidR="004A456D" w:rsidRPr="00044093">
              <w:rPr>
                <w:rStyle w:val="Hipervnculo"/>
                <w:rFonts w:eastAsiaTheme="majorEastAsia" w:cstheme="majorBidi"/>
                <w:b/>
                <w:noProof/>
              </w:rPr>
              <w:t>I. Consideraciones Generales</w:t>
            </w:r>
            <w:r w:rsidR="004A456D">
              <w:rPr>
                <w:noProof/>
                <w:webHidden/>
              </w:rPr>
              <w:tab/>
            </w:r>
            <w:r w:rsidR="004A456D">
              <w:rPr>
                <w:noProof/>
                <w:webHidden/>
              </w:rPr>
              <w:fldChar w:fldCharType="begin"/>
            </w:r>
            <w:r w:rsidR="004A456D">
              <w:rPr>
                <w:noProof/>
                <w:webHidden/>
              </w:rPr>
              <w:instrText xml:space="preserve"> PAGEREF _Toc527374606 \h </w:instrText>
            </w:r>
            <w:r w:rsidR="004A456D">
              <w:rPr>
                <w:noProof/>
                <w:webHidden/>
              </w:rPr>
            </w:r>
            <w:r w:rsidR="004A456D">
              <w:rPr>
                <w:noProof/>
                <w:webHidden/>
              </w:rPr>
              <w:fldChar w:fldCharType="separate"/>
            </w:r>
            <w:r w:rsidR="004A456D">
              <w:rPr>
                <w:noProof/>
                <w:webHidden/>
              </w:rPr>
              <w:t>3</w:t>
            </w:r>
            <w:r w:rsidR="004A456D">
              <w:rPr>
                <w:noProof/>
                <w:webHidden/>
              </w:rPr>
              <w:fldChar w:fldCharType="end"/>
            </w:r>
          </w:hyperlink>
        </w:p>
        <w:p w:rsidR="004A456D" w:rsidRDefault="002B0438" w:rsidP="000058D9">
          <w:pPr>
            <w:pStyle w:val="TDC1"/>
            <w:rPr>
              <w:rFonts w:asciiTheme="minorHAnsi" w:eastAsiaTheme="minorEastAsia" w:hAnsiTheme="minorHAnsi" w:cstheme="minorBidi"/>
              <w:noProof/>
              <w:sz w:val="22"/>
              <w:szCs w:val="22"/>
              <w:bdr w:val="none" w:sz="0" w:space="0" w:color="auto"/>
              <w:lang w:eastAsia="es-MX"/>
            </w:rPr>
          </w:pPr>
          <w:hyperlink w:anchor="_Toc527374607" w:history="1">
            <w:r w:rsidR="004A456D" w:rsidRPr="00044093">
              <w:rPr>
                <w:rStyle w:val="Hipervnculo"/>
                <w:noProof/>
              </w:rPr>
              <w:t>II.</w:t>
            </w:r>
            <w:r w:rsidR="004A456D">
              <w:rPr>
                <w:rFonts w:asciiTheme="minorHAnsi" w:eastAsiaTheme="minorEastAsia" w:hAnsiTheme="minorHAnsi" w:cstheme="minorBidi"/>
                <w:noProof/>
                <w:sz w:val="22"/>
                <w:szCs w:val="22"/>
                <w:bdr w:val="none" w:sz="0" w:space="0" w:color="auto"/>
                <w:lang w:eastAsia="es-MX"/>
              </w:rPr>
              <w:tab/>
            </w:r>
            <w:r w:rsidR="004A456D" w:rsidRPr="00044093">
              <w:rPr>
                <w:rStyle w:val="Hipervnculo"/>
                <w:noProof/>
              </w:rPr>
              <w:t>De los requerimientos planteados en el recurso de revisión.</w:t>
            </w:r>
            <w:r w:rsidR="004A456D">
              <w:rPr>
                <w:noProof/>
                <w:webHidden/>
              </w:rPr>
              <w:tab/>
            </w:r>
            <w:r w:rsidR="004A456D">
              <w:rPr>
                <w:noProof/>
                <w:webHidden/>
              </w:rPr>
              <w:fldChar w:fldCharType="begin"/>
            </w:r>
            <w:r w:rsidR="004A456D">
              <w:rPr>
                <w:noProof/>
                <w:webHidden/>
              </w:rPr>
              <w:instrText xml:space="preserve"> PAGEREF _Toc527374607 \h </w:instrText>
            </w:r>
            <w:r w:rsidR="004A456D">
              <w:rPr>
                <w:noProof/>
                <w:webHidden/>
              </w:rPr>
            </w:r>
            <w:r w:rsidR="004A456D">
              <w:rPr>
                <w:noProof/>
                <w:webHidden/>
              </w:rPr>
              <w:fldChar w:fldCharType="separate"/>
            </w:r>
            <w:r w:rsidR="004A456D">
              <w:rPr>
                <w:noProof/>
                <w:webHidden/>
              </w:rPr>
              <w:t>4</w:t>
            </w:r>
            <w:r w:rsidR="004A456D">
              <w:rPr>
                <w:noProof/>
                <w:webHidden/>
              </w:rPr>
              <w:fldChar w:fldCharType="end"/>
            </w:r>
          </w:hyperlink>
        </w:p>
        <w:p w:rsidR="004A456D" w:rsidRDefault="002B0438" w:rsidP="000058D9">
          <w:pPr>
            <w:pStyle w:val="TDC1"/>
            <w:rPr>
              <w:rFonts w:asciiTheme="minorHAnsi" w:eastAsiaTheme="minorEastAsia" w:hAnsiTheme="minorHAnsi" w:cstheme="minorBidi"/>
              <w:noProof/>
              <w:sz w:val="22"/>
              <w:szCs w:val="22"/>
              <w:bdr w:val="none" w:sz="0" w:space="0" w:color="auto"/>
              <w:lang w:eastAsia="es-MX"/>
            </w:rPr>
          </w:pPr>
          <w:hyperlink w:anchor="_Toc527374608" w:history="1">
            <w:r w:rsidR="004A456D" w:rsidRPr="00044093">
              <w:rPr>
                <w:rStyle w:val="Hipervnculo"/>
                <w:noProof/>
              </w:rPr>
              <w:t>III.</w:t>
            </w:r>
            <w:r w:rsidR="004A456D">
              <w:rPr>
                <w:rFonts w:asciiTheme="minorHAnsi" w:eastAsiaTheme="minorEastAsia" w:hAnsiTheme="minorHAnsi" w:cstheme="minorBidi"/>
                <w:noProof/>
                <w:sz w:val="22"/>
                <w:szCs w:val="22"/>
                <w:bdr w:val="none" w:sz="0" w:space="0" w:color="auto"/>
                <w:lang w:eastAsia="es-MX"/>
              </w:rPr>
              <w:tab/>
            </w:r>
            <w:r w:rsidR="004A456D" w:rsidRPr="00044093">
              <w:rPr>
                <w:rStyle w:val="Hipervnculo"/>
                <w:noProof/>
              </w:rPr>
              <w:t>De la respuesta del Sujeto Obligado.</w:t>
            </w:r>
            <w:r w:rsidR="004A456D">
              <w:rPr>
                <w:noProof/>
                <w:webHidden/>
              </w:rPr>
              <w:tab/>
            </w:r>
            <w:r w:rsidR="004A456D">
              <w:rPr>
                <w:noProof/>
                <w:webHidden/>
              </w:rPr>
              <w:fldChar w:fldCharType="begin"/>
            </w:r>
            <w:r w:rsidR="004A456D">
              <w:rPr>
                <w:noProof/>
                <w:webHidden/>
              </w:rPr>
              <w:instrText xml:space="preserve"> PAGEREF _Toc527374608 \h </w:instrText>
            </w:r>
            <w:r w:rsidR="004A456D">
              <w:rPr>
                <w:noProof/>
                <w:webHidden/>
              </w:rPr>
            </w:r>
            <w:r w:rsidR="004A456D">
              <w:rPr>
                <w:noProof/>
                <w:webHidden/>
              </w:rPr>
              <w:fldChar w:fldCharType="separate"/>
            </w:r>
            <w:r w:rsidR="004A456D">
              <w:rPr>
                <w:noProof/>
                <w:webHidden/>
              </w:rPr>
              <w:t>6</w:t>
            </w:r>
            <w:r w:rsidR="004A456D">
              <w:rPr>
                <w:noProof/>
                <w:webHidden/>
              </w:rPr>
              <w:fldChar w:fldCharType="end"/>
            </w:r>
          </w:hyperlink>
        </w:p>
        <w:p w:rsidR="004A456D" w:rsidRDefault="002B0438" w:rsidP="000058D9">
          <w:pPr>
            <w:pStyle w:val="TDC1"/>
            <w:rPr>
              <w:rFonts w:asciiTheme="minorHAnsi" w:eastAsiaTheme="minorEastAsia" w:hAnsiTheme="minorHAnsi" w:cstheme="minorBidi"/>
              <w:noProof/>
              <w:sz w:val="22"/>
              <w:szCs w:val="22"/>
              <w:bdr w:val="none" w:sz="0" w:space="0" w:color="auto"/>
              <w:lang w:eastAsia="es-MX"/>
            </w:rPr>
          </w:pPr>
          <w:hyperlink w:anchor="_Toc527374609" w:history="1">
            <w:r w:rsidR="004A456D" w:rsidRPr="00044093">
              <w:rPr>
                <w:rStyle w:val="Hipervnculo"/>
                <w:rFonts w:eastAsia="Calibri"/>
                <w:noProof/>
              </w:rPr>
              <w:t>IV.</w:t>
            </w:r>
            <w:r w:rsidR="004A456D">
              <w:rPr>
                <w:rFonts w:asciiTheme="minorHAnsi" w:eastAsiaTheme="minorEastAsia" w:hAnsiTheme="minorHAnsi" w:cstheme="minorBidi"/>
                <w:noProof/>
                <w:sz w:val="22"/>
                <w:szCs w:val="22"/>
                <w:bdr w:val="none" w:sz="0" w:space="0" w:color="auto"/>
                <w:lang w:eastAsia="es-MX"/>
              </w:rPr>
              <w:tab/>
            </w:r>
            <w:r w:rsidR="004A456D" w:rsidRPr="00044093">
              <w:rPr>
                <w:rStyle w:val="Hipervnculo"/>
                <w:rFonts w:eastAsia="Calibri"/>
                <w:noProof/>
              </w:rPr>
              <w:t>Del Pronunciamiento simple.</w:t>
            </w:r>
            <w:r w:rsidR="004A456D">
              <w:rPr>
                <w:noProof/>
                <w:webHidden/>
              </w:rPr>
              <w:tab/>
            </w:r>
            <w:r w:rsidR="004A456D">
              <w:rPr>
                <w:noProof/>
                <w:webHidden/>
              </w:rPr>
              <w:fldChar w:fldCharType="begin"/>
            </w:r>
            <w:r w:rsidR="004A456D">
              <w:rPr>
                <w:noProof/>
                <w:webHidden/>
              </w:rPr>
              <w:instrText xml:space="preserve"> PAGEREF _Toc527374609 \h </w:instrText>
            </w:r>
            <w:r w:rsidR="004A456D">
              <w:rPr>
                <w:noProof/>
                <w:webHidden/>
              </w:rPr>
            </w:r>
            <w:r w:rsidR="004A456D">
              <w:rPr>
                <w:noProof/>
                <w:webHidden/>
              </w:rPr>
              <w:fldChar w:fldCharType="separate"/>
            </w:r>
            <w:r w:rsidR="004A456D">
              <w:rPr>
                <w:noProof/>
                <w:webHidden/>
              </w:rPr>
              <w:t>12</w:t>
            </w:r>
            <w:r w:rsidR="004A456D">
              <w:rPr>
                <w:noProof/>
                <w:webHidden/>
              </w:rPr>
              <w:fldChar w:fldCharType="end"/>
            </w:r>
          </w:hyperlink>
        </w:p>
        <w:p w:rsidR="00A3395D" w:rsidRPr="004F719D" w:rsidRDefault="004A456D" w:rsidP="000058D9">
          <w:pPr>
            <w:spacing w:line="360" w:lineRule="auto"/>
            <w:rPr>
              <w:rFonts w:ascii="Palatino Linotype" w:hAnsi="Palatino Linotype"/>
              <w:b/>
              <w:bCs/>
              <w:color w:val="000000" w:themeColor="text1"/>
            </w:rPr>
          </w:pPr>
          <w:r>
            <w:rPr>
              <w:rFonts w:ascii="Palatino Linotype" w:hAnsi="Palatino Linotype"/>
              <w:b/>
              <w:bCs/>
              <w:noProof/>
              <w:color w:val="000000" w:themeColor="text1"/>
              <w:bdr w:val="none" w:sz="0" w:space="0" w:color="auto"/>
              <w:lang w:eastAsia="es-MX"/>
            </w:rPr>
            <mc:AlternateContent>
              <mc:Choice Requires="wps">
                <w:drawing>
                  <wp:anchor distT="0" distB="0" distL="114300" distR="114300" simplePos="0" relativeHeight="251659264" behindDoc="0" locked="0" layoutInCell="1" allowOverlap="1">
                    <wp:simplePos x="0" y="0"/>
                    <wp:positionH relativeFrom="column">
                      <wp:posOffset>158115</wp:posOffset>
                    </wp:positionH>
                    <wp:positionV relativeFrom="paragraph">
                      <wp:posOffset>184150</wp:posOffset>
                    </wp:positionV>
                    <wp:extent cx="5591175" cy="4581525"/>
                    <wp:effectExtent l="19050" t="19050" r="28575" b="28575"/>
                    <wp:wrapNone/>
                    <wp:docPr id="3" name="Conector recto 3"/>
                    <wp:cNvGraphicFramePr/>
                    <a:graphic xmlns:a="http://schemas.openxmlformats.org/drawingml/2006/main">
                      <a:graphicData uri="http://schemas.microsoft.com/office/word/2010/wordprocessingShape">
                        <wps:wsp>
                          <wps:cNvCnPr/>
                          <wps:spPr>
                            <a:xfrm>
                              <a:off x="0" y="0"/>
                              <a:ext cx="5591175" cy="458152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C24FDF5" id="Conector recto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45pt,14.5pt" to="452.7pt,3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" strokecolor="#5b9bd5 [3204]" strokeweight="3pt">
                    <v:stroke joinstyle="miter"/>
                  </v:line>
                </w:pict>
              </mc:Fallback>
            </mc:AlternateContent>
          </w:r>
          <w:r w:rsidR="00B82DF9" w:rsidRPr="00075028">
            <w:rPr>
              <w:rFonts w:ascii="Palatino Linotype" w:hAnsi="Palatino Linotype"/>
              <w:b/>
              <w:bCs/>
              <w:color w:val="000000" w:themeColor="text1"/>
            </w:rPr>
            <w:fldChar w:fldCharType="end"/>
          </w:r>
        </w:p>
      </w:sdtContent>
    </w:sdt>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0D714D" w:rsidRPr="004F719D" w:rsidRDefault="000D714D" w:rsidP="000058D9">
      <w:pPr>
        <w:spacing w:line="360" w:lineRule="auto"/>
        <w:rPr>
          <w:rFonts w:ascii="Palatino Linotype" w:hAnsi="Palatino Linotype"/>
          <w:b/>
          <w:bCs/>
          <w:color w:val="000000" w:themeColor="text1"/>
        </w:rPr>
      </w:pPr>
    </w:p>
    <w:p w:rsidR="006E2911" w:rsidRPr="004F719D" w:rsidRDefault="006E2911" w:rsidP="000058D9">
      <w:pPr>
        <w:spacing w:line="360" w:lineRule="auto"/>
        <w:rPr>
          <w:rFonts w:ascii="Palatino Linotype" w:hAnsi="Palatino Linotype"/>
          <w:b/>
          <w:bCs/>
          <w:color w:val="000000" w:themeColor="text1"/>
        </w:rPr>
      </w:pPr>
    </w:p>
    <w:p w:rsidR="006E2911" w:rsidRPr="004F719D" w:rsidRDefault="006E2911" w:rsidP="000058D9">
      <w:pPr>
        <w:spacing w:line="360" w:lineRule="auto"/>
        <w:rPr>
          <w:rFonts w:ascii="Palatino Linotype" w:hAnsi="Palatino Linotype"/>
          <w:b/>
          <w:bCs/>
          <w:color w:val="000000" w:themeColor="text1"/>
        </w:rPr>
      </w:pPr>
    </w:p>
    <w:p w:rsidR="006E2911" w:rsidRDefault="006E2911" w:rsidP="000058D9">
      <w:pPr>
        <w:spacing w:line="360" w:lineRule="auto"/>
        <w:rPr>
          <w:rFonts w:ascii="Palatino Linotype" w:hAnsi="Palatino Linotype"/>
          <w:b/>
          <w:bCs/>
          <w:color w:val="000000" w:themeColor="text1"/>
        </w:rPr>
      </w:pPr>
    </w:p>
    <w:p w:rsidR="0044164A" w:rsidRDefault="0044164A" w:rsidP="000058D9">
      <w:pPr>
        <w:spacing w:line="360" w:lineRule="auto"/>
        <w:rPr>
          <w:rFonts w:ascii="Palatino Linotype" w:hAnsi="Palatino Linotype"/>
          <w:b/>
          <w:bCs/>
          <w:color w:val="000000" w:themeColor="text1"/>
        </w:rPr>
      </w:pPr>
    </w:p>
    <w:p w:rsidR="00075028" w:rsidRPr="004F719D" w:rsidRDefault="00075028" w:rsidP="000058D9">
      <w:pPr>
        <w:spacing w:line="360" w:lineRule="auto"/>
        <w:rPr>
          <w:rFonts w:ascii="Palatino Linotype" w:hAnsi="Palatino Linotype"/>
          <w:b/>
          <w:bCs/>
          <w:color w:val="000000" w:themeColor="text1"/>
        </w:rPr>
      </w:pPr>
    </w:p>
    <w:p w:rsidR="00A3395D" w:rsidRPr="004F719D" w:rsidRDefault="00343467" w:rsidP="000058D9">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240" w:line="360" w:lineRule="auto"/>
        <w:outlineLvl w:val="0"/>
        <w:rPr>
          <w:rFonts w:ascii="Palatino Linotype" w:eastAsiaTheme="majorEastAsia" w:hAnsi="Palatino Linotype" w:cstheme="majorBidi"/>
          <w:b/>
        </w:rPr>
      </w:pPr>
      <w:bookmarkStart w:id="0" w:name="_Toc493504860"/>
      <w:bookmarkStart w:id="1" w:name="_Toc527374606"/>
      <w:r w:rsidRPr="004F719D">
        <w:rPr>
          <w:rFonts w:ascii="Palatino Linotype" w:eastAsiaTheme="majorEastAsia" w:hAnsi="Palatino Linotype" w:cstheme="majorBidi"/>
          <w:b/>
        </w:rPr>
        <w:lastRenderedPageBreak/>
        <w:t xml:space="preserve">I. </w:t>
      </w:r>
      <w:r w:rsidR="00A3395D" w:rsidRPr="004F719D">
        <w:rPr>
          <w:rFonts w:ascii="Palatino Linotype" w:eastAsiaTheme="majorEastAsia" w:hAnsi="Palatino Linotype" w:cstheme="majorBidi"/>
          <w:b/>
        </w:rPr>
        <w:t>Consideraciones Generales</w:t>
      </w:r>
      <w:bookmarkEnd w:id="0"/>
      <w:bookmarkEnd w:id="1"/>
    </w:p>
    <w:p w:rsidR="00A3395D" w:rsidRPr="004F719D" w:rsidRDefault="00A3395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Pr="00924DF4"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eastAsia="Times New Roman" w:hAnsi="Palatino Linotype" w:cs="Arial"/>
          <w:lang w:val="es-ES_tradnl"/>
        </w:rPr>
        <w:t xml:space="preserve">He concurrido con mi voto </w:t>
      </w:r>
      <w:r w:rsidR="0044164A">
        <w:rPr>
          <w:rFonts w:ascii="Palatino Linotype" w:eastAsia="Times New Roman" w:hAnsi="Palatino Linotype" w:cs="Arial"/>
          <w:lang w:val="es-ES_tradnl"/>
        </w:rPr>
        <w:t xml:space="preserve">disidente </w:t>
      </w:r>
      <w:r w:rsidRPr="00924DF4">
        <w:rPr>
          <w:rFonts w:ascii="Palatino Linotype" w:eastAsia="Times New Roman" w:hAnsi="Palatino Linotype" w:cs="Arial"/>
          <w:lang w:val="es-ES_tradnl"/>
        </w:rPr>
        <w:t xml:space="preserve">de la presente resolución emitida </w:t>
      </w:r>
      <w:r w:rsidRPr="00924DF4">
        <w:rPr>
          <w:rFonts w:ascii="Palatino Linotype" w:hAnsi="Palatino Linotype" w:cs="Arial"/>
        </w:rPr>
        <w:t xml:space="preserve">por el Pleno del Instituto de Transparencia, Acceso a la Información Pública y Protección de </w:t>
      </w:r>
      <w:r w:rsidRPr="0033436E">
        <w:rPr>
          <w:rFonts w:ascii="Palatino Linotype" w:hAnsi="Palatino Linotype" w:cs="Arial"/>
        </w:rPr>
        <w:t xml:space="preserve">Datos Personales del Estado de México y Municipios, en su Trigésima Séptima Sesión Ordinaria de fecha </w:t>
      </w:r>
      <w:proofErr w:type="spellStart"/>
      <w:r w:rsidRPr="0033436E">
        <w:rPr>
          <w:rFonts w:ascii="Palatino Linotype" w:hAnsi="Palatino Linotype" w:cs="Arial"/>
        </w:rPr>
        <w:t>veintiseis</w:t>
      </w:r>
      <w:proofErr w:type="spellEnd"/>
      <w:r w:rsidRPr="0033436E">
        <w:rPr>
          <w:rFonts w:ascii="Palatino Linotype" w:hAnsi="Palatino Linotype" w:cs="Arial"/>
        </w:rPr>
        <w:t xml:space="preserve"> (26) de septiembre de dos mil dieciocho, en el</w:t>
      </w:r>
      <w:bookmarkStart w:id="2" w:name="_GoBack"/>
      <w:bookmarkEnd w:id="2"/>
      <w:r w:rsidRPr="00924DF4">
        <w:rPr>
          <w:rFonts w:ascii="Palatino Linotype" w:hAnsi="Palatino Linotype" w:cs="Arial"/>
        </w:rPr>
        <w:t xml:space="preserve"> recurso de revisión promovido por</w:t>
      </w:r>
      <w:r w:rsidRPr="00924DF4">
        <w:rPr>
          <w:rFonts w:ascii="Palatino Linotype" w:hAnsi="Palatino Linotype" w:cs="Arial"/>
          <w:b/>
        </w:rPr>
        <w:t xml:space="preserve"> </w:t>
      </w:r>
      <w:r w:rsidR="005A7D93" w:rsidRPr="00C37253">
        <w:rPr>
          <w:rFonts w:ascii="Palatino Linotype" w:hAnsi="Palatino Linotype" w:cs="Arial"/>
          <w:b/>
          <w:highlight w:val="black"/>
        </w:rPr>
        <w:t>---------------------------------------</w:t>
      </w:r>
      <w:r w:rsidRPr="00924DF4">
        <w:rPr>
          <w:rFonts w:ascii="Palatino Linotype" w:hAnsi="Palatino Linotype" w:cs="Arial"/>
        </w:rPr>
        <w:t>,</w:t>
      </w:r>
      <w:r w:rsidRPr="00924DF4">
        <w:rPr>
          <w:rFonts w:ascii="Palatino Linotype" w:hAnsi="Palatino Linotype" w:cs="Arial"/>
          <w:b/>
        </w:rPr>
        <w:t xml:space="preserve"> </w:t>
      </w:r>
      <w:r w:rsidRPr="00924DF4">
        <w:rPr>
          <w:rFonts w:ascii="Palatino Linotype" w:hAnsi="Palatino Linotype" w:cs="Arial"/>
        </w:rPr>
        <w:t>en contra de las respuesta de</w:t>
      </w:r>
      <w:r w:rsidR="00413E58">
        <w:rPr>
          <w:rFonts w:ascii="Palatino Linotype" w:hAnsi="Palatino Linotype" w:cs="Arial"/>
        </w:rPr>
        <w:t xml:space="preserve">l </w:t>
      </w:r>
      <w:r w:rsidR="00413E58" w:rsidRPr="00413E58">
        <w:rPr>
          <w:rFonts w:ascii="Palatino Linotype" w:hAnsi="Palatino Linotype" w:cs="Arial"/>
          <w:b/>
        </w:rPr>
        <w:t>Ayuntamiento de Naucalpan</w:t>
      </w:r>
      <w:r w:rsidRPr="00924DF4">
        <w:rPr>
          <w:rFonts w:ascii="Palatino Linotype" w:hAnsi="Palatino Linotype" w:cs="Arial"/>
        </w:rPr>
        <w:t xml:space="preserve">, procedimiento al que se le asignó el número de expediente </w:t>
      </w:r>
      <w:r w:rsidRPr="00924DF4">
        <w:rPr>
          <w:rFonts w:ascii="Palatino Linotype" w:eastAsia="Times New Roman" w:hAnsi="Palatino Linotype" w:cs="Arial"/>
          <w:b/>
          <w:bCs/>
          <w:lang w:eastAsia="es-ES"/>
        </w:rPr>
        <w:t>02</w:t>
      </w:r>
      <w:r w:rsidR="00413E58">
        <w:rPr>
          <w:rFonts w:ascii="Palatino Linotype" w:eastAsia="Times New Roman" w:hAnsi="Palatino Linotype" w:cs="Arial"/>
          <w:b/>
          <w:bCs/>
          <w:lang w:eastAsia="es-ES"/>
        </w:rPr>
        <w:t>746</w:t>
      </w:r>
      <w:r w:rsidRPr="00924DF4">
        <w:rPr>
          <w:rFonts w:ascii="Palatino Linotype" w:eastAsia="Times New Roman" w:hAnsi="Palatino Linotype" w:cs="Arial"/>
          <w:b/>
          <w:bCs/>
          <w:lang w:eastAsia="es-ES"/>
        </w:rPr>
        <w:t>/INFOEM/IP/RR/2018.</w:t>
      </w:r>
    </w:p>
    <w:p w:rsidR="003331EE" w:rsidRPr="004F719D" w:rsidRDefault="003331EE"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color w:val="000000" w:themeColor="text1"/>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924DF4">
        <w:rPr>
          <w:rFonts w:ascii="Palatino Linotype" w:hAnsi="Palatino Linotype" w:cs="Arial"/>
        </w:rPr>
        <w:t xml:space="preserve">Resultan </w:t>
      </w:r>
      <w:r w:rsidR="00413E58">
        <w:rPr>
          <w:rFonts w:ascii="Palatino Linotype" w:hAnsi="Palatino Linotype" w:cs="Arial"/>
        </w:rPr>
        <w:t>fundadas las razones y</w:t>
      </w:r>
      <w:r w:rsidRPr="00924DF4">
        <w:rPr>
          <w:rFonts w:ascii="Palatino Linotype" w:hAnsi="Palatino Linotype" w:cs="Arial"/>
        </w:rPr>
        <w:t xml:space="preserve"> motivos de inconformidad que arguye </w:t>
      </w:r>
      <w:r w:rsidRPr="00924DF4">
        <w:rPr>
          <w:rFonts w:ascii="Palatino Linotype" w:hAnsi="Palatino Linotype" w:cs="Arial"/>
          <w:b/>
        </w:rPr>
        <w:t>el recurrente</w:t>
      </w:r>
      <w:r w:rsidRPr="00924DF4">
        <w:rPr>
          <w:rFonts w:ascii="Palatino Linotype" w:hAnsi="Palatino Linotype" w:cs="Arial"/>
        </w:rPr>
        <w:t xml:space="preserve">, en términos del Considerando </w:t>
      </w:r>
      <w:r>
        <w:rPr>
          <w:rFonts w:ascii="Palatino Linotype" w:hAnsi="Palatino Linotype" w:cs="Arial"/>
        </w:rPr>
        <w:t>Quinto</w:t>
      </w:r>
      <w:r w:rsidRPr="00924DF4">
        <w:rPr>
          <w:rFonts w:ascii="Palatino Linotype" w:hAnsi="Palatino Linotype" w:cs="Arial"/>
        </w:rPr>
        <w:t xml:space="preserve"> de la resolución</w:t>
      </w:r>
      <w:r>
        <w:rPr>
          <w:rFonts w:ascii="Palatino Linotype" w:hAnsi="Palatino Linotype" w:cs="Arial"/>
        </w:rPr>
        <w:t>,</w:t>
      </w:r>
      <w:r w:rsidRPr="00924DF4">
        <w:rPr>
          <w:rFonts w:ascii="Palatino Linotype" w:hAnsi="Palatino Linotype" w:cs="Arial"/>
        </w:rPr>
        <w:t xml:space="preserve"> por lo que la ponencia encargada consideró </w:t>
      </w:r>
      <w:r w:rsidRPr="00A6390E">
        <w:rPr>
          <w:rFonts w:ascii="Palatino Linotype" w:hAnsi="Palatino Linotype" w:cs="Arial"/>
          <w:b/>
        </w:rPr>
        <w:t xml:space="preserve">REVOCAR </w:t>
      </w:r>
      <w:r w:rsidRPr="00924DF4">
        <w:rPr>
          <w:rFonts w:ascii="Palatino Linotype" w:hAnsi="Palatino Linotype" w:cs="Arial"/>
        </w:rPr>
        <w:t xml:space="preserve">la respuesta del Sujeto Obligado, sin embargo, mi voto </w:t>
      </w:r>
      <w:r>
        <w:rPr>
          <w:rFonts w:ascii="Palatino Linotype" w:hAnsi="Palatino Linotype" w:cs="Arial"/>
        </w:rPr>
        <w:t>disidente</w:t>
      </w:r>
      <w:r w:rsidRPr="00924DF4">
        <w:rPr>
          <w:rFonts w:ascii="Palatino Linotype" w:hAnsi="Palatino Linotype" w:cs="Arial"/>
        </w:rPr>
        <w:t xml:space="preserve"> se deriva del hecho de que resulta necesario </w:t>
      </w:r>
      <w:r>
        <w:rPr>
          <w:rFonts w:ascii="Palatino Linotype" w:hAnsi="Palatino Linotype" w:cs="Arial"/>
        </w:rPr>
        <w:t xml:space="preserve">señalar </w:t>
      </w:r>
      <w:r w:rsidRPr="00924DF4">
        <w:rPr>
          <w:rFonts w:ascii="Palatino Linotype" w:hAnsi="Palatino Linotype" w:cs="Arial"/>
        </w:rPr>
        <w:t>que para</w:t>
      </w:r>
      <w:r>
        <w:rPr>
          <w:rFonts w:ascii="Palatino Linotype" w:hAnsi="Palatino Linotype" w:cs="Arial"/>
        </w:rPr>
        <w:t xml:space="preserve"> que sea procedente la reserva de información, es indispensable acreditar ciertos requisitos, los cuales se agotan actualizando cuatro tiempos y ratificando la reserva de la misma, mediante la materialización de</w:t>
      </w:r>
      <w:r w:rsidRPr="00AE100A">
        <w:rPr>
          <w:rFonts w:ascii="Palatino Linotype" w:hAnsi="Palatino Linotype" w:cs="Arial"/>
        </w:rPr>
        <w:t xml:space="preserve"> las facultades concedidas al instituto</w:t>
      </w:r>
      <w:r>
        <w:rPr>
          <w:rFonts w:ascii="Palatino Linotype" w:hAnsi="Palatino Linotype" w:cs="Arial"/>
        </w:rPr>
        <w:t>,</w:t>
      </w:r>
      <w:r w:rsidRPr="00AE100A">
        <w:rPr>
          <w:rFonts w:ascii="Palatino Linotype" w:hAnsi="Palatino Linotype" w:cs="Arial"/>
        </w:rPr>
        <w:t xml:space="preserve"> para </w:t>
      </w:r>
      <w:r>
        <w:rPr>
          <w:rFonts w:ascii="Palatino Linotype" w:hAnsi="Palatino Linotype" w:cs="Arial"/>
        </w:rPr>
        <w:t xml:space="preserve">verificar la naturaleza de la información y con ello dar </w:t>
      </w:r>
      <w:r w:rsidRPr="00AE100A">
        <w:rPr>
          <w:rFonts w:ascii="Palatino Linotype" w:hAnsi="Palatino Linotype" w:cs="Arial"/>
        </w:rPr>
        <w:t xml:space="preserve">certeza y firmeza a las resoluciones emitidas. </w:t>
      </w:r>
    </w:p>
    <w:p w:rsidR="00CC0EC5" w:rsidRPr="00CC0EC5" w:rsidRDefault="00CC0EC5" w:rsidP="000058D9">
      <w:pPr>
        <w:pStyle w:val="Prrafodelista"/>
        <w:spacing w:line="360" w:lineRule="auto"/>
        <w:rPr>
          <w:rFonts w:ascii="Palatino Linotype" w:hAnsi="Palatino Linotype" w:cs="Arial"/>
          <w:color w:val="000000" w:themeColor="text1"/>
        </w:rPr>
      </w:pPr>
    </w:p>
    <w:p w:rsidR="00CC0EC5" w:rsidRP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color w:val="000000" w:themeColor="text1"/>
        </w:rPr>
        <w:t xml:space="preserve">Por </w:t>
      </w:r>
      <w:r w:rsidR="007B70C2" w:rsidRPr="00CC0EC5">
        <w:rPr>
          <w:rFonts w:ascii="Palatino Linotype" w:hAnsi="Palatino Linotype" w:cs="Arial"/>
          <w:color w:val="000000" w:themeColor="text1"/>
        </w:rPr>
        <w:t xml:space="preserve">los motivos y las razones de hecho y de derecho que se señalan a continuación y en términos de lo señalado por </w:t>
      </w:r>
      <w:r w:rsidR="00E12C1D" w:rsidRPr="00CC0EC5">
        <w:rPr>
          <w:rFonts w:ascii="Palatino Linotype" w:hAnsi="Palatino Linotype" w:cs="Arial"/>
          <w:color w:val="000000" w:themeColor="text1"/>
        </w:rPr>
        <w:t>el</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artículo</w:t>
      </w:r>
      <w:r w:rsidR="007B70C2" w:rsidRPr="00CC0EC5">
        <w:rPr>
          <w:rFonts w:ascii="Palatino Linotype" w:hAnsi="Palatino Linotype" w:cs="Arial"/>
          <w:color w:val="000000" w:themeColor="text1"/>
        </w:rPr>
        <w:t xml:space="preserve"> </w:t>
      </w:r>
      <w:r w:rsidR="00E12C1D" w:rsidRPr="00CC0EC5">
        <w:rPr>
          <w:rFonts w:ascii="Palatino Linotype" w:hAnsi="Palatino Linotype" w:cs="Arial"/>
          <w:color w:val="000000" w:themeColor="text1"/>
        </w:rPr>
        <w:t>14</w:t>
      </w:r>
      <w:r w:rsidR="007B70C2" w:rsidRPr="00CC0EC5">
        <w:rPr>
          <w:rFonts w:ascii="Palatino Linotype" w:hAnsi="Palatino Linotype" w:cs="Arial"/>
          <w:color w:val="000000" w:themeColor="text1"/>
        </w:rPr>
        <w:t xml:space="preserve"> fracción </w:t>
      </w:r>
      <w:r w:rsidR="00E12C1D" w:rsidRPr="00CC0EC5">
        <w:rPr>
          <w:rFonts w:ascii="Palatino Linotype" w:hAnsi="Palatino Linotype" w:cs="Arial"/>
          <w:color w:val="000000" w:themeColor="text1"/>
        </w:rPr>
        <w:t>XI</w:t>
      </w:r>
      <w:r w:rsidR="007B70C2" w:rsidRPr="00CC0EC5">
        <w:rPr>
          <w:rFonts w:ascii="Palatino Linotype" w:hAnsi="Palatino Linotype" w:cs="Arial"/>
          <w:color w:val="000000" w:themeColor="text1"/>
        </w:rPr>
        <w:t xml:space="preserve"> del </w:t>
      </w:r>
      <w:r w:rsidR="007B70C2" w:rsidRPr="00CC0EC5">
        <w:rPr>
          <w:rFonts w:ascii="Palatino Linotype" w:hAnsi="Palatino Linotype" w:cs="Arial"/>
          <w:color w:val="000000" w:themeColor="text1"/>
        </w:rPr>
        <w:lastRenderedPageBreak/>
        <w:t>Reglamento Interior del Instituto de Transparencia y Acceso a la Información Pública del Estado de México y Municipios</w:t>
      </w:r>
      <w:r w:rsidR="000D714D" w:rsidRPr="00CC0EC5">
        <w:rPr>
          <w:rFonts w:ascii="Palatino Linotype" w:hAnsi="Palatino Linotype" w:cs="Arial"/>
          <w:color w:val="000000" w:themeColor="text1"/>
        </w:rPr>
        <w:t>,</w:t>
      </w:r>
      <w:r w:rsidR="007B70C2" w:rsidRPr="00CC0EC5">
        <w:rPr>
          <w:rFonts w:ascii="Palatino Linotype" w:hAnsi="Palatino Linotype" w:cs="Arial"/>
          <w:color w:val="000000" w:themeColor="text1"/>
        </w:rPr>
        <w:t xml:space="preserve"> formulo el presente voto disidente. </w:t>
      </w:r>
    </w:p>
    <w:p w:rsidR="00CC0EC5" w:rsidRPr="00CC0EC5" w:rsidRDefault="00CC0EC5" w:rsidP="000058D9">
      <w:pPr>
        <w:pStyle w:val="Prrafodelista"/>
        <w:spacing w:line="360" w:lineRule="auto"/>
        <w:rPr>
          <w:rFonts w:ascii="Palatino Linotype" w:hAnsi="Palatino Linotype" w:cs="Arial"/>
          <w:color w:val="000000" w:themeColor="text1"/>
          <w:lang w:val="es-ES"/>
        </w:rPr>
      </w:pPr>
    </w:p>
    <w:p w:rsidR="00FC0B18" w:rsidRPr="00413E58" w:rsidRDefault="007B70C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CC0EC5">
        <w:rPr>
          <w:rFonts w:ascii="Palatino Linotype" w:hAnsi="Palatino Linotype" w:cs="Arial"/>
          <w:color w:val="000000" w:themeColor="text1"/>
          <w:lang w:val="es-ES"/>
        </w:rPr>
        <w:t>Al presentar este voto disidente deseo manifestar lo que en su momento señalé durante la discusión de esta res</w:t>
      </w:r>
      <w:r w:rsidR="00FC0B18" w:rsidRPr="00CC0EC5">
        <w:rPr>
          <w:rFonts w:ascii="Palatino Linotype" w:hAnsi="Palatino Linotype" w:cs="Arial"/>
          <w:color w:val="000000" w:themeColor="text1"/>
          <w:lang w:val="es-ES"/>
        </w:rPr>
        <w:t>olución</w:t>
      </w:r>
      <w:r w:rsidR="007A4E77" w:rsidRPr="00CC0EC5">
        <w:rPr>
          <w:rFonts w:ascii="Palatino Linotype" w:hAnsi="Palatino Linotype" w:cs="Arial"/>
          <w:color w:val="000000" w:themeColor="text1"/>
          <w:lang w:val="es-ES"/>
        </w:rPr>
        <w:t xml:space="preserve"> en el Pleno de este órgano Garante, e</w:t>
      </w:r>
      <w:r w:rsidR="00FC0B18" w:rsidRPr="00CC0EC5">
        <w:rPr>
          <w:rFonts w:ascii="Palatino Linotype" w:hAnsi="Palatino Linotype" w:cs="Arial"/>
          <w:color w:val="000000" w:themeColor="text1"/>
          <w:lang w:val="es-ES"/>
        </w:rPr>
        <w:t xml:space="preserve">specificando que no comparto la decisión adoptada por la mayoría de los Comisionados integrantes del </w:t>
      </w:r>
      <w:r w:rsidR="00941946" w:rsidRPr="00CC0EC5">
        <w:rPr>
          <w:rFonts w:ascii="Palatino Linotype" w:hAnsi="Palatino Linotype" w:cs="Arial"/>
          <w:color w:val="000000" w:themeColor="text1"/>
          <w:lang w:val="es-ES"/>
        </w:rPr>
        <w:t>P</w:t>
      </w:r>
      <w:r w:rsidR="00FC0B18" w:rsidRPr="00CC0EC5">
        <w:rPr>
          <w:rFonts w:ascii="Palatino Linotype" w:hAnsi="Palatino Linotype" w:cs="Arial"/>
          <w:color w:val="000000" w:themeColor="text1"/>
          <w:lang w:val="es-ES"/>
        </w:rPr>
        <w:t xml:space="preserve">leno, en el sentido </w:t>
      </w:r>
      <w:r w:rsidR="00343467" w:rsidRPr="00CC0EC5">
        <w:rPr>
          <w:rFonts w:ascii="Palatino Linotype" w:hAnsi="Palatino Linotype" w:cs="Arial"/>
          <w:color w:val="000000" w:themeColor="text1"/>
          <w:lang w:val="es-ES"/>
        </w:rPr>
        <w:t xml:space="preserve">y razonamientos </w:t>
      </w:r>
      <w:r w:rsidR="00FC0B18" w:rsidRPr="00CC0EC5">
        <w:rPr>
          <w:rFonts w:ascii="Palatino Linotype" w:hAnsi="Palatino Linotype" w:cs="Arial"/>
          <w:color w:val="000000" w:themeColor="text1"/>
          <w:lang w:val="es-ES"/>
        </w:rPr>
        <w:t>de la resol</w:t>
      </w:r>
      <w:r w:rsidR="000D714D" w:rsidRPr="00CC0EC5">
        <w:rPr>
          <w:rFonts w:ascii="Palatino Linotype" w:hAnsi="Palatino Linotype" w:cs="Arial"/>
          <w:color w:val="000000" w:themeColor="text1"/>
          <w:lang w:val="es-ES"/>
        </w:rPr>
        <w:t>ución del recurso de revisión</w:t>
      </w:r>
      <w:r w:rsidR="00FC0B18" w:rsidRPr="00CC0EC5">
        <w:rPr>
          <w:rFonts w:ascii="Palatino Linotype" w:hAnsi="Palatino Linotype" w:cs="Arial"/>
          <w:color w:val="000000" w:themeColor="text1"/>
          <w:lang w:val="es-ES"/>
        </w:rPr>
        <w:t xml:space="preserve"> registrado con el número </w:t>
      </w:r>
      <w:r w:rsidR="000D714D" w:rsidRPr="00CC0EC5">
        <w:rPr>
          <w:rFonts w:ascii="Palatino Linotype" w:hAnsi="Palatino Linotype" w:cs="Arial"/>
          <w:color w:val="000000" w:themeColor="text1"/>
          <w:lang w:val="es-ES"/>
        </w:rPr>
        <w:t>de expediente al rubro indicado, por las consideraciones que se plasman en los párrafos siguientes.</w:t>
      </w:r>
    </w:p>
    <w:p w:rsidR="00413E58" w:rsidRPr="00CC0EC5" w:rsidRDefault="00413E58"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jc w:val="both"/>
        <w:rPr>
          <w:rFonts w:ascii="Palatino Linotype" w:hAnsi="Palatino Linotype" w:cs="Arial"/>
        </w:rPr>
      </w:pPr>
    </w:p>
    <w:p w:rsidR="00A410B3" w:rsidRPr="004F719D" w:rsidRDefault="00A410B3" w:rsidP="000058D9">
      <w:pPr>
        <w:pStyle w:val="Ttulo1"/>
      </w:pPr>
      <w:bookmarkStart w:id="3" w:name="_Toc473810012"/>
      <w:bookmarkStart w:id="4" w:name="_Toc527374607"/>
      <w:bookmarkStart w:id="5" w:name="_Toc472594392"/>
      <w:bookmarkStart w:id="6" w:name="_Toc485911590"/>
      <w:r w:rsidRPr="004F719D">
        <w:t>De los requerimientos planteados en el recurso de revisión.</w:t>
      </w:r>
      <w:bookmarkEnd w:id="3"/>
      <w:bookmarkEnd w:id="4"/>
    </w:p>
    <w:p w:rsidR="00A410B3" w:rsidRPr="004F719D" w:rsidRDefault="00A410B3" w:rsidP="000058D9">
      <w:pPr>
        <w:pStyle w:val="Prrafodelista"/>
        <w:spacing w:line="360" w:lineRule="auto"/>
        <w:ind w:left="1080"/>
        <w:jc w:val="both"/>
        <w:rPr>
          <w:rFonts w:ascii="Palatino Linotype" w:hAnsi="Palatino Linotype" w:cs="Arial"/>
          <w:b/>
        </w:rPr>
      </w:pPr>
    </w:p>
    <w:p w:rsidR="00CC0EC5" w:rsidRPr="00924DF4"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particular requirió de</w:t>
      </w:r>
      <w:r>
        <w:rPr>
          <w:rFonts w:ascii="Palatino Linotype" w:hAnsi="Palatino Linotype" w:cs="Arial"/>
        </w:rPr>
        <w:t xml:space="preserve">l </w:t>
      </w:r>
      <w:r w:rsidR="00413E58">
        <w:rPr>
          <w:rFonts w:ascii="Palatino Linotype" w:hAnsi="Palatino Linotype"/>
          <w:b/>
          <w:sz w:val="22"/>
          <w:szCs w:val="22"/>
        </w:rPr>
        <w:t>Ayuntamiento de Naucalpan</w:t>
      </w:r>
      <w:r w:rsidRPr="00924DF4">
        <w:rPr>
          <w:rFonts w:ascii="Palatino Linotype" w:hAnsi="Palatino Linotype" w:cs="Arial"/>
        </w:rPr>
        <w:t xml:space="preserve"> lo siguiente: </w:t>
      </w:r>
      <w:r w:rsidRPr="00924DF4">
        <w:rPr>
          <w:rFonts w:ascii="Palatino Linotype" w:hAnsi="Palatino Linotype" w:cs="Arial"/>
          <w:b/>
        </w:rPr>
        <w:t xml:space="preserve"> </w:t>
      </w:r>
    </w:p>
    <w:p w:rsidR="00CC0EC5" w:rsidRPr="00924DF4" w:rsidRDefault="00CC0EC5" w:rsidP="000058D9">
      <w:pPr>
        <w:pStyle w:val="Prrafodelista"/>
        <w:spacing w:line="360" w:lineRule="auto"/>
        <w:ind w:left="360"/>
        <w:jc w:val="both"/>
        <w:rPr>
          <w:rFonts w:ascii="Palatino Linotype" w:eastAsia="Times New Roman" w:hAnsi="Palatino Linotype"/>
          <w:i/>
          <w:lang w:val="es-ES_tradnl" w:eastAsia="es-ES"/>
        </w:rPr>
      </w:pPr>
      <w:r w:rsidRPr="00924DF4">
        <w:rPr>
          <w:rFonts w:ascii="Palatino Linotype" w:hAnsi="Palatino Linotype" w:cs="Arial"/>
        </w:rPr>
        <w:t xml:space="preserve"> </w:t>
      </w:r>
    </w:p>
    <w:p w:rsidR="00413E58" w:rsidRPr="00A202A6" w:rsidRDefault="00413E58" w:rsidP="000058D9">
      <w:pPr>
        <w:spacing w:line="360" w:lineRule="auto"/>
        <w:ind w:left="567" w:right="616"/>
        <w:jc w:val="both"/>
        <w:rPr>
          <w:rFonts w:ascii="Palatino Linotype" w:hAnsi="Palatino Linotype"/>
          <w:sz w:val="22"/>
          <w:szCs w:val="22"/>
        </w:rPr>
      </w:pPr>
      <w:r w:rsidRPr="00A202A6">
        <w:rPr>
          <w:rFonts w:ascii="Palatino Linotype" w:hAnsi="Palatino Linotype" w:cs="Arial"/>
          <w:i/>
          <w:sz w:val="22"/>
          <w:szCs w:val="22"/>
        </w:rPr>
        <w:t xml:space="preserve">“Respecto al Predio ubicado en </w:t>
      </w:r>
      <w:r w:rsidR="00A14597" w:rsidRPr="00A14597">
        <w:rPr>
          <w:rFonts w:ascii="Palatino Linotype" w:hAnsi="Palatino Linotype" w:cs="Arial"/>
          <w:i/>
          <w:sz w:val="22"/>
          <w:szCs w:val="22"/>
          <w:highlight w:val="black"/>
        </w:rPr>
        <w:t>------------------------------------------</w:t>
      </w:r>
      <w:r w:rsidRPr="00A202A6">
        <w:rPr>
          <w:rFonts w:ascii="Palatino Linotype" w:hAnsi="Palatino Linotype" w:cs="Arial"/>
          <w:i/>
          <w:sz w:val="22"/>
          <w:szCs w:val="22"/>
        </w:rPr>
        <w:t xml:space="preserve">, </w:t>
      </w:r>
      <w:r w:rsidR="00DE664E">
        <w:rPr>
          <w:rFonts w:ascii="Palatino Linotype" w:hAnsi="Palatino Linotype" w:cs="Arial"/>
          <w:i/>
          <w:sz w:val="22"/>
          <w:szCs w:val="22"/>
          <w:highlight w:val="black"/>
        </w:rPr>
        <w:t xml:space="preserve">                                                                           </w:t>
      </w:r>
      <w:r w:rsidRPr="00A202A6">
        <w:rPr>
          <w:rFonts w:ascii="Palatino Linotype" w:hAnsi="Palatino Linotype" w:cs="Arial"/>
          <w:i/>
          <w:sz w:val="22"/>
          <w:szCs w:val="22"/>
        </w:rPr>
        <w:t xml:space="preserve">, se requiere, en versión pública de las siguientes documentales: 1.- Si el predio descrito, es propiedad del Ayuntamiento de Naucalpan. Para el caso de que la respuesta sea afirmativa, anexar de forma digital el documento que lo acredite. En caso de no ser así, anexar el nombre del propietario. 2.- Si el predio ha sido objeto de donación, contrato de comodato y/o contrato de Derecho de Superficie, entre el Ayuntamiento de Naucalpan y algún particular y/o asociación civil. 3.- En atención a la respuesta anterior, si es afirmativa, acreditar la forma y proceso de otorgamiento de cada contrato y/o forma de realización. 4.- Si el predio descrito paga contribuciones respecto a impuesto predial y </w:t>
      </w:r>
      <w:r w:rsidRPr="00A202A6">
        <w:rPr>
          <w:rFonts w:ascii="Palatino Linotype" w:hAnsi="Palatino Linotype" w:cs="Arial"/>
          <w:i/>
          <w:sz w:val="22"/>
          <w:szCs w:val="22"/>
        </w:rPr>
        <w:lastRenderedPageBreak/>
        <w:t xml:space="preserve">derechos de agua potable. En caso de ser afirmativa la respuesta, anexar en formato de versión pública de los documentos que lo acrediten. 5.- Si el predio descrito, cuenta con licencias de construcción y/o cambio de uso de sueño. </w:t>
      </w:r>
      <w:proofErr w:type="gramStart"/>
      <w:r w:rsidRPr="00A202A6">
        <w:rPr>
          <w:rFonts w:ascii="Palatino Linotype" w:hAnsi="Palatino Linotype" w:cs="Arial"/>
          <w:i/>
          <w:sz w:val="22"/>
          <w:szCs w:val="22"/>
        </w:rPr>
        <w:t>en</w:t>
      </w:r>
      <w:proofErr w:type="gramEnd"/>
      <w:r w:rsidRPr="00A202A6">
        <w:rPr>
          <w:rFonts w:ascii="Palatino Linotype" w:hAnsi="Palatino Linotype" w:cs="Arial"/>
          <w:i/>
          <w:sz w:val="22"/>
          <w:szCs w:val="22"/>
        </w:rPr>
        <w:t xml:space="preserve"> caso de ser afirmativo, Anexar las licencias correspondientes en versión publica de los </w:t>
      </w:r>
      <w:proofErr w:type="spellStart"/>
      <w:r w:rsidRPr="00A202A6">
        <w:rPr>
          <w:rFonts w:ascii="Palatino Linotype" w:hAnsi="Palatino Linotype" w:cs="Arial"/>
          <w:i/>
          <w:sz w:val="22"/>
          <w:szCs w:val="22"/>
        </w:rPr>
        <w:t>los</w:t>
      </w:r>
      <w:proofErr w:type="spellEnd"/>
      <w:r w:rsidRPr="00A202A6">
        <w:rPr>
          <w:rFonts w:ascii="Palatino Linotype" w:hAnsi="Palatino Linotype" w:cs="Arial"/>
          <w:i/>
          <w:sz w:val="22"/>
          <w:szCs w:val="22"/>
        </w:rPr>
        <w:t xml:space="preserve"> documentos que lo acrediten en secuencia cronológica. Respecto al Predio ubicado en </w:t>
      </w:r>
      <w:r w:rsidR="00A14597" w:rsidRPr="00A14597">
        <w:rPr>
          <w:rFonts w:ascii="Palatino Linotype" w:hAnsi="Palatino Linotype" w:cs="Arial"/>
          <w:i/>
          <w:sz w:val="22"/>
          <w:szCs w:val="22"/>
          <w:highlight w:val="black"/>
        </w:rPr>
        <w:t>---------------------------</w:t>
      </w:r>
      <w:r w:rsidRPr="00A202A6">
        <w:rPr>
          <w:rFonts w:ascii="Palatino Linotype" w:hAnsi="Palatino Linotype" w:cs="Arial"/>
          <w:i/>
          <w:sz w:val="22"/>
          <w:szCs w:val="22"/>
        </w:rPr>
        <w:t xml:space="preserve">, </w:t>
      </w:r>
      <w:r w:rsidR="00DE664E">
        <w:rPr>
          <w:rFonts w:ascii="Palatino Linotype" w:hAnsi="Palatino Linotype" w:cs="Arial"/>
          <w:i/>
          <w:sz w:val="22"/>
          <w:szCs w:val="22"/>
          <w:highlight w:val="black"/>
        </w:rPr>
        <w:t xml:space="preserve">                                              </w:t>
      </w:r>
      <w:r w:rsidRPr="00A202A6">
        <w:rPr>
          <w:rFonts w:ascii="Palatino Linotype" w:hAnsi="Palatino Linotype" w:cs="Arial"/>
          <w:i/>
          <w:sz w:val="22"/>
          <w:szCs w:val="22"/>
        </w:rPr>
        <w:t xml:space="preserve">, se requiere, en versión pública de las siguientes documentales: 1.- Si el predio descrito paga contribuciones respecto a impuesto predial y derechos de agua potable. En caso de ser afirmativa la respuesta, anexar en formato de versión pública de los documentos que lo acrediten. 2.- Si el predio descrito, cuenta con licencias de construcción y/o cambio de uso de sueño. </w:t>
      </w:r>
      <w:proofErr w:type="gramStart"/>
      <w:r w:rsidRPr="00A202A6">
        <w:rPr>
          <w:rFonts w:ascii="Palatino Linotype" w:hAnsi="Palatino Linotype" w:cs="Arial"/>
          <w:i/>
          <w:sz w:val="22"/>
          <w:szCs w:val="22"/>
        </w:rPr>
        <w:t>en</w:t>
      </w:r>
      <w:proofErr w:type="gramEnd"/>
      <w:r w:rsidRPr="00A202A6">
        <w:rPr>
          <w:rFonts w:ascii="Palatino Linotype" w:hAnsi="Palatino Linotype" w:cs="Arial"/>
          <w:i/>
          <w:sz w:val="22"/>
          <w:szCs w:val="22"/>
        </w:rPr>
        <w:t xml:space="preserve"> caso de ser afirmativo, Anexar las licencias correspondientes en versión publica de los </w:t>
      </w:r>
      <w:proofErr w:type="spellStart"/>
      <w:r w:rsidRPr="00A202A6">
        <w:rPr>
          <w:rFonts w:ascii="Palatino Linotype" w:hAnsi="Palatino Linotype" w:cs="Arial"/>
          <w:i/>
          <w:sz w:val="22"/>
          <w:szCs w:val="22"/>
        </w:rPr>
        <w:t>los</w:t>
      </w:r>
      <w:proofErr w:type="spellEnd"/>
      <w:r w:rsidRPr="00A202A6">
        <w:rPr>
          <w:rFonts w:ascii="Palatino Linotype" w:hAnsi="Palatino Linotype" w:cs="Arial"/>
          <w:i/>
          <w:sz w:val="22"/>
          <w:szCs w:val="22"/>
        </w:rPr>
        <w:t xml:space="preserve"> documentos que lo acrediten en secuencia cronológica. Todo en formato PDF.” </w:t>
      </w:r>
      <w:r w:rsidRPr="00A202A6">
        <w:rPr>
          <w:rFonts w:ascii="Palatino Linotype" w:hAnsi="Palatino Linotype"/>
          <w:sz w:val="22"/>
          <w:szCs w:val="22"/>
        </w:rPr>
        <w:t>(Sic).</w:t>
      </w:r>
    </w:p>
    <w:p w:rsidR="00A410B3" w:rsidRPr="004F719D" w:rsidRDefault="00A410B3" w:rsidP="000058D9">
      <w:pPr>
        <w:pStyle w:val="Sinespaciado"/>
        <w:spacing w:line="360" w:lineRule="auto"/>
        <w:ind w:left="567" w:right="616"/>
        <w:jc w:val="both"/>
        <w:rPr>
          <w:rFonts w:ascii="Palatino Linotype" w:hAnsi="Palatino Linotype" w:cs="Arial"/>
          <w:i/>
          <w:color w:val="000000" w:themeColor="text1"/>
          <w:sz w:val="24"/>
          <w:szCs w:val="24"/>
        </w:rPr>
      </w:pPr>
    </w:p>
    <w:p w:rsidR="00CC0EC5" w:rsidRPr="00B4429E"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Times New Roman" w:hAnsi="Palatino Linotype"/>
          <w:i/>
          <w:lang w:val="es-ES_tradnl" w:eastAsia="es-ES"/>
        </w:rPr>
      </w:pPr>
      <w:r w:rsidRPr="00924DF4">
        <w:rPr>
          <w:rFonts w:ascii="Palatino Linotype" w:hAnsi="Palatino Linotype" w:cs="Arial"/>
        </w:rPr>
        <w:t>El Sujeto Obligado mediante su escrito dio respuesta a la solicitud de información, de la siguiente manera:</w:t>
      </w:r>
    </w:p>
    <w:p w:rsidR="00CC0EC5" w:rsidRPr="00924DF4" w:rsidRDefault="00CC0EC5" w:rsidP="000058D9">
      <w:pPr>
        <w:pStyle w:val="Prrafodelista"/>
        <w:spacing w:line="360" w:lineRule="auto"/>
        <w:ind w:left="0"/>
        <w:jc w:val="both"/>
        <w:rPr>
          <w:rFonts w:ascii="Palatino Linotype" w:eastAsia="Times New Roman" w:hAnsi="Palatino Linotype"/>
          <w:i/>
          <w:lang w:val="es-ES_tradnl" w:eastAsia="es-ES"/>
        </w:rPr>
      </w:pPr>
    </w:p>
    <w:p w:rsidR="00413E58" w:rsidRPr="00A202A6" w:rsidRDefault="00413E58" w:rsidP="000058D9">
      <w:pPr>
        <w:spacing w:line="360" w:lineRule="auto"/>
        <w:ind w:left="567" w:right="899"/>
        <w:jc w:val="right"/>
        <w:rPr>
          <w:rFonts w:ascii="Palatino Linotype" w:hAnsi="Palatino Linotype" w:cs="Arial"/>
          <w:i/>
          <w:sz w:val="22"/>
          <w:szCs w:val="22"/>
        </w:rPr>
      </w:pPr>
      <w:r w:rsidRPr="00A202A6">
        <w:rPr>
          <w:rFonts w:ascii="Palatino Linotype" w:hAnsi="Palatino Linotype" w:cs="Arial"/>
          <w:i/>
          <w:sz w:val="22"/>
          <w:szCs w:val="22"/>
        </w:rPr>
        <w:t>“Naucalpan de Juárez, México a 01 de Agosto de 2018</w:t>
      </w:r>
    </w:p>
    <w:p w:rsidR="00413E58" w:rsidRPr="00A202A6" w:rsidRDefault="00413E58" w:rsidP="000058D9">
      <w:pPr>
        <w:spacing w:line="360" w:lineRule="auto"/>
        <w:ind w:left="567" w:right="899"/>
        <w:jc w:val="right"/>
        <w:rPr>
          <w:rFonts w:ascii="Palatino Linotype" w:hAnsi="Palatino Linotype" w:cs="Arial"/>
          <w:i/>
          <w:sz w:val="22"/>
          <w:szCs w:val="22"/>
        </w:rPr>
      </w:pPr>
      <w:r w:rsidRPr="00A202A6">
        <w:rPr>
          <w:rFonts w:ascii="Palatino Linotype" w:hAnsi="Palatino Linotype" w:cs="Arial"/>
          <w:i/>
          <w:sz w:val="22"/>
          <w:szCs w:val="22"/>
        </w:rPr>
        <w:t xml:space="preserve">Nombre del solicitante: </w:t>
      </w:r>
      <w:r w:rsidR="005A7D93" w:rsidRPr="005A7D93">
        <w:rPr>
          <w:rFonts w:ascii="Palatino Linotype" w:hAnsi="Palatino Linotype" w:cs="Arial"/>
          <w:i/>
          <w:sz w:val="22"/>
          <w:szCs w:val="22"/>
          <w:highlight w:val="black"/>
        </w:rPr>
        <w:t>----------------------------------------</w:t>
      </w:r>
    </w:p>
    <w:p w:rsidR="00413E58" w:rsidRPr="00A202A6" w:rsidRDefault="00413E58" w:rsidP="000058D9">
      <w:pPr>
        <w:spacing w:line="360" w:lineRule="auto"/>
        <w:ind w:left="567" w:right="899"/>
        <w:jc w:val="right"/>
        <w:rPr>
          <w:rFonts w:ascii="Palatino Linotype" w:hAnsi="Palatino Linotype" w:cs="Arial"/>
          <w:i/>
          <w:sz w:val="22"/>
          <w:szCs w:val="22"/>
        </w:rPr>
      </w:pPr>
      <w:r w:rsidRPr="00A202A6">
        <w:rPr>
          <w:rFonts w:ascii="Palatino Linotype" w:hAnsi="Palatino Linotype" w:cs="Arial"/>
          <w:i/>
          <w:sz w:val="22"/>
          <w:szCs w:val="22"/>
        </w:rPr>
        <w:t>Folio de la solicitud: 00368/NAUCALPA/IP/2018</w:t>
      </w:r>
    </w:p>
    <w:p w:rsidR="00413E58" w:rsidRPr="00A202A6" w:rsidRDefault="00413E58" w:rsidP="000058D9">
      <w:pPr>
        <w:spacing w:line="360" w:lineRule="auto"/>
        <w:ind w:left="567" w:right="899"/>
        <w:jc w:val="right"/>
        <w:rPr>
          <w:rFonts w:ascii="Palatino Linotype" w:hAnsi="Palatino Linotype" w:cs="Arial"/>
          <w:i/>
          <w:sz w:val="22"/>
          <w:szCs w:val="22"/>
        </w:rPr>
      </w:pPr>
    </w:p>
    <w:p w:rsidR="00413E58" w:rsidRPr="00A202A6" w:rsidRDefault="00413E58" w:rsidP="000058D9">
      <w:pPr>
        <w:spacing w:line="360" w:lineRule="auto"/>
        <w:ind w:left="567" w:right="899"/>
        <w:jc w:val="both"/>
        <w:rPr>
          <w:rFonts w:ascii="Palatino Linotype" w:hAnsi="Palatino Linotype" w:cs="Arial"/>
          <w:i/>
          <w:sz w:val="22"/>
          <w:szCs w:val="22"/>
        </w:rPr>
      </w:pPr>
      <w:r w:rsidRPr="00A202A6">
        <w:rPr>
          <w:rFonts w:ascii="Palatino Linotype" w:hAnsi="Palatino Linotype" w:cs="Arial"/>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413E58" w:rsidRPr="00A202A6" w:rsidRDefault="00413E58" w:rsidP="000058D9">
      <w:pPr>
        <w:spacing w:line="360" w:lineRule="auto"/>
        <w:ind w:left="567" w:right="899"/>
        <w:jc w:val="right"/>
        <w:rPr>
          <w:rFonts w:ascii="Palatino Linotype" w:hAnsi="Palatino Linotype" w:cs="Arial"/>
          <w:i/>
          <w:sz w:val="22"/>
          <w:szCs w:val="22"/>
        </w:rPr>
      </w:pPr>
    </w:p>
    <w:p w:rsidR="00413E58" w:rsidRPr="00A202A6" w:rsidRDefault="00413E58" w:rsidP="000058D9">
      <w:pPr>
        <w:spacing w:line="360" w:lineRule="auto"/>
        <w:ind w:left="567" w:right="899"/>
        <w:jc w:val="both"/>
        <w:rPr>
          <w:rFonts w:ascii="Palatino Linotype" w:hAnsi="Palatino Linotype" w:cs="Arial"/>
          <w:i/>
          <w:sz w:val="22"/>
          <w:szCs w:val="22"/>
        </w:rPr>
      </w:pPr>
      <w:r w:rsidRPr="00A202A6">
        <w:rPr>
          <w:rFonts w:ascii="Palatino Linotype" w:hAnsi="Palatino Linotype" w:cs="Arial"/>
          <w:i/>
          <w:sz w:val="22"/>
          <w:szCs w:val="22"/>
        </w:rPr>
        <w:t xml:space="preserve">Se cita textualmente la respuesta otorgada por el Servidor Público Habilitado responsable de dar atención a su solicitud de información. Mediante Sesión Ordinaria Décimo Cuarta del Comité de Transparencia de fecha 26 de julio de 2018, en su punto segundo del orden del día, se confirma por unanimidad la declaratoria de inexistencia de la solicitud que nos ocupa, a la cual se le </w:t>
      </w:r>
      <w:proofErr w:type="spellStart"/>
      <w:r w:rsidRPr="00A202A6">
        <w:rPr>
          <w:rFonts w:ascii="Palatino Linotype" w:hAnsi="Palatino Linotype" w:cs="Arial"/>
          <w:i/>
          <w:sz w:val="22"/>
          <w:szCs w:val="22"/>
        </w:rPr>
        <w:t>asigno</w:t>
      </w:r>
      <w:proofErr w:type="spellEnd"/>
      <w:r w:rsidRPr="00A202A6">
        <w:rPr>
          <w:rFonts w:ascii="Palatino Linotype" w:hAnsi="Palatino Linotype" w:cs="Arial"/>
          <w:i/>
          <w:sz w:val="22"/>
          <w:szCs w:val="22"/>
        </w:rPr>
        <w:t xml:space="preserve"> el </w:t>
      </w:r>
      <w:proofErr w:type="spellStart"/>
      <w:r w:rsidRPr="00A202A6">
        <w:rPr>
          <w:rFonts w:ascii="Palatino Linotype" w:hAnsi="Palatino Linotype" w:cs="Arial"/>
          <w:i/>
          <w:sz w:val="22"/>
          <w:szCs w:val="22"/>
        </w:rPr>
        <w:t>numero</w:t>
      </w:r>
      <w:proofErr w:type="spellEnd"/>
      <w:r w:rsidRPr="00A202A6">
        <w:rPr>
          <w:rFonts w:ascii="Palatino Linotype" w:hAnsi="Palatino Linotype" w:cs="Arial"/>
          <w:i/>
          <w:sz w:val="22"/>
          <w:szCs w:val="22"/>
        </w:rPr>
        <w:t xml:space="preserve"> de acuerdo CT/CO/00113/2018,</w:t>
      </w:r>
    </w:p>
    <w:p w:rsidR="00413E58" w:rsidRPr="00A202A6" w:rsidRDefault="00413E58" w:rsidP="000058D9">
      <w:pPr>
        <w:spacing w:line="360" w:lineRule="auto"/>
        <w:ind w:left="567" w:right="899"/>
        <w:jc w:val="both"/>
        <w:rPr>
          <w:rFonts w:ascii="Palatino Linotype" w:hAnsi="Palatino Linotype" w:cs="Arial"/>
          <w:i/>
          <w:sz w:val="22"/>
          <w:szCs w:val="22"/>
        </w:rPr>
      </w:pPr>
    </w:p>
    <w:p w:rsidR="00413E58" w:rsidRPr="00A202A6" w:rsidRDefault="00413E58" w:rsidP="000058D9">
      <w:pPr>
        <w:spacing w:line="360" w:lineRule="auto"/>
        <w:ind w:left="567" w:right="899"/>
        <w:jc w:val="both"/>
        <w:rPr>
          <w:rFonts w:ascii="Palatino Linotype" w:hAnsi="Palatino Linotype" w:cs="Arial"/>
          <w:i/>
          <w:sz w:val="22"/>
          <w:szCs w:val="22"/>
        </w:rPr>
      </w:pPr>
      <w:r w:rsidRPr="00A202A6">
        <w:rPr>
          <w:rFonts w:ascii="Palatino Linotype" w:hAnsi="Palatino Linotype" w:cs="Arial"/>
          <w:i/>
          <w:sz w:val="22"/>
          <w:szCs w:val="22"/>
        </w:rPr>
        <w:t>ATENTAMENTE</w:t>
      </w:r>
    </w:p>
    <w:p w:rsidR="00413E58" w:rsidRPr="00A202A6" w:rsidRDefault="00413E58" w:rsidP="000058D9">
      <w:pPr>
        <w:spacing w:line="360" w:lineRule="auto"/>
        <w:ind w:left="567" w:right="899"/>
        <w:jc w:val="both"/>
        <w:rPr>
          <w:rFonts w:ascii="Palatino Linotype" w:hAnsi="Palatino Linotype" w:cs="Arial"/>
          <w:i/>
          <w:sz w:val="22"/>
          <w:szCs w:val="22"/>
        </w:rPr>
      </w:pPr>
    </w:p>
    <w:p w:rsidR="00CC0EC5" w:rsidRPr="00413E58" w:rsidRDefault="00413E58" w:rsidP="000058D9">
      <w:pPr>
        <w:spacing w:line="360" w:lineRule="auto"/>
        <w:ind w:left="567" w:right="899"/>
        <w:jc w:val="both"/>
        <w:rPr>
          <w:rFonts w:ascii="Palatino Linotype" w:hAnsi="Palatino Linotype" w:cs="Arial"/>
          <w:i/>
          <w:sz w:val="22"/>
          <w:szCs w:val="22"/>
        </w:rPr>
      </w:pPr>
      <w:r w:rsidRPr="00A202A6">
        <w:rPr>
          <w:rFonts w:ascii="Palatino Linotype" w:hAnsi="Palatino Linotype" w:cs="Arial"/>
          <w:i/>
          <w:sz w:val="22"/>
          <w:szCs w:val="22"/>
        </w:rPr>
        <w:t>MTRO. JORGE CAJIGA CALDERÓN” (Sic)</w:t>
      </w:r>
    </w:p>
    <w:p w:rsidR="00413E58"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ese sentido,</w:t>
      </w:r>
      <w:r w:rsidRPr="00924DF4">
        <w:rPr>
          <w:rFonts w:ascii="Palatino Linotype" w:hAnsi="Palatino Linotype" w:cs="Arial"/>
          <w:b/>
        </w:rPr>
        <w:t xml:space="preserve"> </w:t>
      </w:r>
      <w:r w:rsidRPr="00924DF4">
        <w:rPr>
          <w:rFonts w:ascii="Palatino Linotype" w:hAnsi="Palatino Linotype" w:cs="Arial"/>
        </w:rPr>
        <w:t>el particular en sus motivos de inconformidad, se duele arguyendo</w:t>
      </w:r>
      <w:r w:rsidR="00413E58">
        <w:rPr>
          <w:rFonts w:ascii="Palatino Linotype" w:hAnsi="Palatino Linotype" w:cs="Arial"/>
        </w:rPr>
        <w:t xml:space="preserve"> que la información solicitada, debe de existir en los archivos del Ayuntamiento, dado que su solicitud versa sobre dos cuestiones diversas y atendiendo a su naturaleza debería de existir. </w:t>
      </w:r>
    </w:p>
    <w:p w:rsidR="00413E58" w:rsidRPr="00413E58" w:rsidRDefault="00413E58"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413E58" w:rsidRDefault="00413E58"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Posteriormente el Sujeto Obligado rindi</w:t>
      </w:r>
      <w:r w:rsidR="00D16060">
        <w:rPr>
          <w:rFonts w:ascii="Palatino Linotype" w:hAnsi="Palatino Linotype" w:cs="Arial"/>
        </w:rPr>
        <w:t xml:space="preserve">ó su informe justificado, en el cual anexó diversas documentales para dar atención al requerimiento del particular, sin embargo en algunas de ellas hizo del conocimiento de esta autoridad y del recurrente que la información no podría ser otorgada, en atención de que fue clasificada como reservada. </w:t>
      </w:r>
    </w:p>
    <w:p w:rsidR="00D16060" w:rsidRPr="00D16060" w:rsidRDefault="00D16060" w:rsidP="000058D9">
      <w:pPr>
        <w:pStyle w:val="Prrafodelista"/>
        <w:spacing w:line="360" w:lineRule="auto"/>
        <w:rPr>
          <w:rFonts w:ascii="Palatino Linotype" w:hAnsi="Palatino Linotype" w:cs="Arial"/>
        </w:rPr>
      </w:pPr>
    </w:p>
    <w:p w:rsidR="00D16060" w:rsidRDefault="00D16060"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lastRenderedPageBreak/>
        <w:t xml:space="preserve">El recurrente, no realizó manifestaciones al respecto, por lo que la ponencia resolutora procedió a emitir la resolución correspondiente. </w:t>
      </w:r>
    </w:p>
    <w:p w:rsidR="00CC0EC5" w:rsidRPr="00CC0EC5" w:rsidRDefault="00CC0EC5"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864D58" w:rsidRDefault="00864D58" w:rsidP="000058D9">
      <w:pPr>
        <w:pStyle w:val="Ttulo1"/>
      </w:pPr>
      <w:bookmarkStart w:id="7" w:name="_Toc527374608"/>
      <w:r w:rsidRPr="004F719D">
        <w:t xml:space="preserve">De la respuesta </w:t>
      </w:r>
      <w:r w:rsidR="00266515" w:rsidRPr="004F719D">
        <w:t>del Sujeto Obligado</w:t>
      </w:r>
      <w:r w:rsidRPr="004F719D">
        <w:t>.</w:t>
      </w:r>
      <w:bookmarkEnd w:id="5"/>
      <w:bookmarkEnd w:id="6"/>
      <w:bookmarkEnd w:id="7"/>
    </w:p>
    <w:p w:rsidR="00864D58" w:rsidRPr="004F719D" w:rsidRDefault="00864D58" w:rsidP="000058D9">
      <w:pPr>
        <w:spacing w:line="360" w:lineRule="auto"/>
        <w:rPr>
          <w:rFonts w:ascii="Palatino Linotype" w:hAnsi="Palatino Linotype"/>
          <w:color w:val="000000" w:themeColor="text1"/>
        </w:rPr>
      </w:pPr>
    </w:p>
    <w:p w:rsidR="00CC0EC5" w:rsidRDefault="00170FB4"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F719D">
        <w:rPr>
          <w:rFonts w:ascii="Palatino Linotype" w:hAnsi="Palatino Linotype" w:cs="Arial"/>
          <w:color w:val="000000"/>
        </w:rPr>
        <w:t>Como ya f</w:t>
      </w:r>
      <w:r w:rsidR="00CC0EC5">
        <w:rPr>
          <w:rFonts w:ascii="Palatino Linotype" w:hAnsi="Palatino Linotype" w:cs="Arial"/>
          <w:color w:val="000000"/>
        </w:rPr>
        <w:t>ue</w:t>
      </w:r>
      <w:r w:rsidRPr="004F719D">
        <w:rPr>
          <w:rFonts w:ascii="Palatino Linotype" w:hAnsi="Palatino Linotype" w:cs="Arial"/>
          <w:color w:val="000000"/>
        </w:rPr>
        <w:t xml:space="preserve"> precisado,</w:t>
      </w:r>
      <w:r w:rsidR="00CC0EC5" w:rsidRPr="00CC0EC5">
        <w:rPr>
          <w:rFonts w:ascii="Palatino Linotype" w:hAnsi="Palatino Linotype" w:cs="Arial"/>
        </w:rPr>
        <w:t xml:space="preserve"> </w:t>
      </w:r>
      <w:r w:rsidR="00CC0EC5">
        <w:rPr>
          <w:rFonts w:ascii="Palatino Linotype" w:hAnsi="Palatino Linotype" w:cs="Arial"/>
        </w:rPr>
        <w:t xml:space="preserve">el </w:t>
      </w:r>
      <w:r w:rsidR="00CC0EC5" w:rsidRPr="00924DF4">
        <w:rPr>
          <w:rFonts w:ascii="Palatino Linotype" w:hAnsi="Palatino Linotype" w:cs="Arial"/>
        </w:rPr>
        <w:t>Sujeto Obligado refiere que la i</w:t>
      </w:r>
      <w:r w:rsidR="00D16060">
        <w:rPr>
          <w:rFonts w:ascii="Palatino Linotype" w:hAnsi="Palatino Linotype" w:cs="Arial"/>
        </w:rPr>
        <w:t xml:space="preserve">nformación resulta reservada sin señalar debidamente los motivos ni razones, así como la fundamentación jurídica  por la cual optó tal decisión. </w:t>
      </w:r>
      <w:r w:rsidR="00CC0EC5" w:rsidRPr="00CC0EC5">
        <w:rPr>
          <w:rFonts w:ascii="Palatino Linotype" w:hAnsi="Palatino Linotype" w:cs="Arial"/>
        </w:rPr>
        <w:t xml:space="preserve"> </w:t>
      </w:r>
    </w:p>
    <w:p w:rsidR="00CC0EC5" w:rsidRPr="00CC0EC5" w:rsidRDefault="00CC0EC5"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C0EC5" w:rsidRPr="00183114"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De lo anterior, es menester señalar que el Instituto Nacional de Transparencia y Acceso a la Información y Protección de Datos Personales, en el </w:t>
      </w:r>
      <w:r w:rsidRPr="00183114">
        <w:rPr>
          <w:rFonts w:ascii="Palatino Linotype" w:hAnsi="Palatino Linotype" w:cs="Arial"/>
        </w:rPr>
        <w:t>expediente RIA 82/18, establece que para acreditar la reserva de la información, es necesario actualizar cuatro requisitos, siendo estos los siguientes:</w:t>
      </w:r>
    </w:p>
    <w:p w:rsidR="00CC0EC5" w:rsidRPr="00924DF4" w:rsidRDefault="00CC0EC5" w:rsidP="000058D9">
      <w:pPr>
        <w:pStyle w:val="Prrafodelista"/>
        <w:spacing w:line="360" w:lineRule="auto"/>
        <w:rPr>
          <w:rFonts w:ascii="Palatino Linotype" w:hAnsi="Palatino Linotype" w:cs="Arial"/>
        </w:rPr>
      </w:pPr>
    </w:p>
    <w:p w:rsidR="00CC0EC5" w:rsidRPr="0044164A" w:rsidRDefault="00CC0EC5" w:rsidP="000058D9">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La existencia de un juicio o procedimiento administrativo materialmente jurisdiccional. </w:t>
      </w:r>
    </w:p>
    <w:p w:rsidR="0044164A" w:rsidRPr="0044164A" w:rsidRDefault="0044164A"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44164A" w:rsidRPr="0044164A" w:rsidRDefault="00CC0EC5" w:rsidP="000058D9">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Que el juicio se encuentre en trámite, es decir, que no haya causado estad.</w:t>
      </w:r>
    </w:p>
    <w:p w:rsidR="00CC0EC5" w:rsidRPr="0044164A" w:rsidRDefault="00CC0EC5"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 </w:t>
      </w:r>
    </w:p>
    <w:p w:rsidR="00CC0EC5" w:rsidRPr="0044164A" w:rsidRDefault="00CC0EC5" w:rsidP="000058D9">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El vínculo entre la información solicitada y el procedimiento judicial de que se trate. </w:t>
      </w:r>
    </w:p>
    <w:p w:rsidR="0044164A" w:rsidRPr="0044164A" w:rsidRDefault="0044164A"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p>
    <w:p w:rsidR="00CC0EC5" w:rsidRPr="0044164A" w:rsidRDefault="00CC0EC5" w:rsidP="000058D9">
      <w:pPr>
        <w:pStyle w:val="Prrafodelista"/>
        <w:numPr>
          <w:ilvl w:val="0"/>
          <w:numId w:val="4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b/>
        </w:rPr>
      </w:pPr>
      <w:r w:rsidRPr="0044164A">
        <w:rPr>
          <w:rFonts w:ascii="Palatino Linotype" w:hAnsi="Palatino Linotype" w:cs="Arial"/>
          <w:b/>
        </w:rPr>
        <w:t xml:space="preserve">Que la difusión de la información pueda causar un daño y/o perjuicio a las atribuciones del Tribunal durante el juicio, es decir, que el contenido de la información vulnere, impida u obstruya los procedimientos que se ventilan. </w:t>
      </w:r>
    </w:p>
    <w:p w:rsidR="00CC0EC5" w:rsidRPr="00924DF4" w:rsidRDefault="00CC0EC5" w:rsidP="000058D9">
      <w:pPr>
        <w:pStyle w:val="Prrafodelista"/>
        <w:spacing w:before="240" w:after="240" w:line="360" w:lineRule="auto"/>
        <w:ind w:left="0" w:right="49"/>
        <w:jc w:val="both"/>
        <w:rPr>
          <w:rFonts w:ascii="Palatino Linotype" w:hAnsi="Palatino Linotype" w:cs="Arial"/>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Por lo que, únicamente al configurarse los mismos</w:t>
      </w:r>
      <w:r w:rsidR="0044164A">
        <w:rPr>
          <w:rFonts w:ascii="Palatino Linotype" w:hAnsi="Palatino Linotype" w:cs="Arial"/>
        </w:rPr>
        <w:t>,</w:t>
      </w:r>
      <w:r>
        <w:rPr>
          <w:rFonts w:ascii="Palatino Linotype" w:hAnsi="Palatino Linotype" w:cs="Arial"/>
        </w:rPr>
        <w:t xml:space="preserve"> es procedente la reserva de la información, si uno de los requisitos faltase, no será en ningún momento posible su reserva. </w:t>
      </w:r>
    </w:p>
    <w:p w:rsidR="00CC0EC5" w:rsidRDefault="00CC0EC5" w:rsidP="000058D9">
      <w:pPr>
        <w:pStyle w:val="Prrafodelista"/>
        <w:spacing w:before="240" w:after="240" w:line="360" w:lineRule="auto"/>
        <w:ind w:left="0" w:right="49"/>
        <w:jc w:val="both"/>
        <w:rPr>
          <w:rFonts w:ascii="Palatino Linotype" w:hAnsi="Palatino Linotype" w:cs="Arial"/>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Del expediente, objeto de mi presente voto</w:t>
      </w:r>
      <w:r w:rsidR="0044164A">
        <w:rPr>
          <w:rFonts w:ascii="Palatino Linotype" w:hAnsi="Palatino Linotype" w:cs="Arial"/>
        </w:rPr>
        <w:t xml:space="preserve"> disidente</w:t>
      </w:r>
      <w:r>
        <w:rPr>
          <w:rFonts w:ascii="Palatino Linotype" w:hAnsi="Palatino Linotype" w:cs="Arial"/>
        </w:rPr>
        <w:t xml:space="preserve">, advierto que del estudio minucioso de la resolución dictada por la ponencia resolutoria, se desprende lo siguiente: </w:t>
      </w:r>
    </w:p>
    <w:p w:rsidR="00CC0EC5" w:rsidRPr="00F36544" w:rsidRDefault="00CC0EC5" w:rsidP="000058D9">
      <w:pPr>
        <w:pStyle w:val="Prrafodelista"/>
        <w:spacing w:line="360" w:lineRule="auto"/>
        <w:rPr>
          <w:rFonts w:ascii="Palatino Linotype" w:hAnsi="Palatino Linotype" w:cs="Arial"/>
        </w:rPr>
      </w:pPr>
    </w:p>
    <w:p w:rsidR="00CC0EC5" w:rsidRDefault="00CC0EC5" w:rsidP="000058D9">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567" w:right="616" w:hanging="11"/>
        <w:jc w:val="both"/>
        <w:rPr>
          <w:rFonts w:ascii="Palatino Linotype" w:hAnsi="Palatino Linotype" w:cs="Arial"/>
        </w:rPr>
      </w:pPr>
      <w:r>
        <w:rPr>
          <w:rFonts w:ascii="Palatino Linotype" w:hAnsi="Palatino Linotype" w:cs="Arial"/>
        </w:rPr>
        <w:t>El Sujeto Obligado reservó la información sin analizar la naturaleza de la misma, sin ajustar las circunstancias de modo tiempo y lugar a la hipótesis que configura la reserva, por lo que l</w:t>
      </w:r>
      <w:r w:rsidRPr="00F36544">
        <w:rPr>
          <w:rFonts w:ascii="Palatino Linotype" w:hAnsi="Palatino Linotype" w:cs="Arial"/>
        </w:rPr>
        <w:t>a prueba de daño que pretendió realizar fue de manera incorrecta.</w:t>
      </w:r>
    </w:p>
    <w:p w:rsidR="00CC0EC5" w:rsidRDefault="00CC0EC5" w:rsidP="000058D9">
      <w:pPr>
        <w:pStyle w:val="Prrafodelista"/>
        <w:spacing w:before="240" w:after="240" w:line="360" w:lineRule="auto"/>
        <w:ind w:left="567" w:right="616" w:hanging="11"/>
        <w:jc w:val="both"/>
        <w:rPr>
          <w:rFonts w:ascii="Palatino Linotype" w:hAnsi="Palatino Linotype" w:cs="Arial"/>
        </w:rPr>
      </w:pPr>
    </w:p>
    <w:p w:rsidR="00CC0EC5" w:rsidRDefault="00CC0EC5" w:rsidP="000058D9">
      <w:pPr>
        <w:pStyle w:val="Prrafodelista"/>
        <w:numPr>
          <w:ilvl w:val="0"/>
          <w:numId w:val="46"/>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hanging="11"/>
        <w:jc w:val="both"/>
        <w:rPr>
          <w:rFonts w:ascii="Palatino Linotype" w:hAnsi="Palatino Linotype" w:cs="Arial"/>
        </w:rPr>
      </w:pPr>
      <w:r>
        <w:rPr>
          <w:rFonts w:ascii="Palatino Linotype" w:hAnsi="Palatino Linotype" w:cs="Arial"/>
        </w:rPr>
        <w:t xml:space="preserve">La ponencia tampoco analizó tales circunstancias, ni materializo la facultad que la ley confiere en sus artículos 182 y 185 de la Ley de la materia. </w:t>
      </w:r>
    </w:p>
    <w:p w:rsidR="00CC0EC5" w:rsidRPr="00F36544" w:rsidRDefault="00CC0EC5" w:rsidP="000058D9">
      <w:pPr>
        <w:pStyle w:val="Prrafodelista"/>
        <w:spacing w:line="360" w:lineRule="auto"/>
        <w:ind w:left="1571" w:right="49"/>
        <w:jc w:val="both"/>
        <w:rPr>
          <w:rFonts w:ascii="Palatino Linotype" w:hAnsi="Palatino Linotype" w:cs="Arial"/>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De lo anterior</w:t>
      </w:r>
      <w:r w:rsidRPr="00924DF4">
        <w:rPr>
          <w:rFonts w:ascii="Palatino Linotype" w:hAnsi="Palatino Linotype" w:cs="Arial"/>
        </w:rPr>
        <w:t xml:space="preserve">, se </w:t>
      </w:r>
      <w:r>
        <w:rPr>
          <w:rFonts w:ascii="Palatino Linotype" w:hAnsi="Palatino Linotype" w:cs="Arial"/>
        </w:rPr>
        <w:t xml:space="preserve"> entiende que </w:t>
      </w:r>
      <w:r w:rsidRPr="00924DF4">
        <w:rPr>
          <w:rFonts w:ascii="Palatino Linotype" w:hAnsi="Palatino Linotype" w:cs="Arial"/>
        </w:rPr>
        <w:t>en ningún momento el Sujeto Obligado</w:t>
      </w:r>
      <w:r>
        <w:rPr>
          <w:rFonts w:ascii="Palatino Linotype" w:hAnsi="Palatino Linotype" w:cs="Arial"/>
        </w:rPr>
        <w:t xml:space="preserve"> estudió ni abordó las cuatro fases de reserva y a consecuencia no realizó una prueba de daño debidamente fundamentada ni motivada, tal como lo establece la fracción X del artículo 140 de la Ley de Transparencia y Acceso a la Información Pública del Estado de México, de tal manera</w:t>
      </w:r>
      <w:r w:rsidRPr="00924DF4">
        <w:rPr>
          <w:rFonts w:ascii="Palatino Linotype" w:hAnsi="Palatino Linotype" w:cs="Arial"/>
        </w:rPr>
        <w:t xml:space="preserve"> resulta </w:t>
      </w:r>
      <w:r>
        <w:rPr>
          <w:rFonts w:ascii="Palatino Linotype" w:hAnsi="Palatino Linotype" w:cs="Arial"/>
        </w:rPr>
        <w:t xml:space="preserve">erróneo reservar la información.  </w:t>
      </w:r>
    </w:p>
    <w:p w:rsidR="00CC0EC5" w:rsidRPr="00924DF4" w:rsidRDefault="00CC0EC5" w:rsidP="000058D9">
      <w:pPr>
        <w:pStyle w:val="Prrafodelista"/>
        <w:spacing w:line="360" w:lineRule="auto"/>
        <w:ind w:left="0" w:right="49"/>
        <w:jc w:val="both"/>
        <w:rPr>
          <w:rFonts w:ascii="Palatino Linotype" w:hAnsi="Palatino Linotype" w:cs="Arial"/>
        </w:rPr>
      </w:pPr>
    </w:p>
    <w:p w:rsidR="00CC0EC5" w:rsidRPr="000B4397"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right="49" w:firstLine="0"/>
        <w:jc w:val="both"/>
        <w:rPr>
          <w:rFonts w:ascii="Palatino Linotype" w:hAnsi="Palatino Linotype" w:cs="Arial"/>
        </w:rPr>
      </w:pPr>
      <w:r>
        <w:rPr>
          <w:rFonts w:ascii="Palatino Linotype" w:hAnsi="Palatino Linotype" w:cs="Arial"/>
        </w:rPr>
        <w:t xml:space="preserve">Respecto al análisis realizado por la ponencia resolutora tampoco analizó debidamente tales circunstancias, solamente se constriñe a señalar que la información pública en posesión de los sujetos obligados, debe de ser entregada a los particulares para su conocimiento, a menos que se actualicen las limitantes para restringir su acceso, sin embargo, su estudio no tocó los alcances de la figura de la reserva, ni los requisitos para su configuración, en razón de que en ningún momento se pronuncia respecto a tal circunstancia, manteniendo dicha postura y estudio en el mismo sentido. </w:t>
      </w:r>
    </w:p>
    <w:p w:rsidR="00CC0EC5" w:rsidRPr="006C0255" w:rsidRDefault="00CC0EC5" w:rsidP="000058D9">
      <w:pPr>
        <w:pStyle w:val="Prrafodelista"/>
        <w:spacing w:line="360" w:lineRule="auto"/>
        <w:rPr>
          <w:rFonts w:ascii="Palatino Linotype" w:hAnsi="Palatino Linotype" w:cs="Arial"/>
        </w:rPr>
      </w:pPr>
    </w:p>
    <w:p w:rsidR="00CC0EC5" w:rsidRP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0B4397">
        <w:rPr>
          <w:rFonts w:ascii="Palatino Linotype" w:hAnsi="Palatino Linotype" w:cs="Arial"/>
        </w:rPr>
        <w:t xml:space="preserve">Es imprescriptible señalar que en el presente año, </w:t>
      </w:r>
      <w:r w:rsidRPr="00CC0EC5">
        <w:rPr>
          <w:rFonts w:ascii="Palatino Linotype" w:hAnsi="Palatino Linotype" w:cs="Arial"/>
        </w:rPr>
        <w:t xml:space="preserve">este </w:t>
      </w:r>
      <w:r>
        <w:rPr>
          <w:rFonts w:ascii="Palatino Linotype" w:hAnsi="Palatino Linotype" w:cs="Arial"/>
        </w:rPr>
        <w:t xml:space="preserve">Órgano </w:t>
      </w:r>
      <w:proofErr w:type="spellStart"/>
      <w:r>
        <w:rPr>
          <w:rFonts w:ascii="Palatino Linotype" w:hAnsi="Palatino Linotype" w:cs="Arial"/>
        </w:rPr>
        <w:t>Resolutor</w:t>
      </w:r>
      <w:proofErr w:type="spellEnd"/>
      <w:r>
        <w:rPr>
          <w:rFonts w:ascii="Palatino Linotype" w:hAnsi="Palatino Linotype" w:cs="Arial"/>
        </w:rPr>
        <w:t xml:space="preserve"> </w:t>
      </w:r>
      <w:r w:rsidRPr="00CC0EC5">
        <w:rPr>
          <w:rFonts w:ascii="Palatino Linotype" w:hAnsi="Palatino Linotype" w:cs="Arial"/>
        </w:rPr>
        <w:t>ha sido sometido a un estricto control por parte del Instituto Nacional de Transparencia, Acceso a la Información y Protección de Datos Personales (INAI), como resultado de</w:t>
      </w:r>
      <w:r w:rsidR="0044164A">
        <w:rPr>
          <w:rFonts w:ascii="Palatino Linotype" w:hAnsi="Palatino Linotype" w:cs="Arial"/>
        </w:rPr>
        <w:t xml:space="preserve"> </w:t>
      </w:r>
      <w:r w:rsidRPr="00CC0EC5">
        <w:rPr>
          <w:rFonts w:ascii="Palatino Linotype" w:hAnsi="Palatino Linotype" w:cs="Arial"/>
        </w:rPr>
        <w:t>l</w:t>
      </w:r>
      <w:r w:rsidR="0044164A">
        <w:rPr>
          <w:rFonts w:ascii="Palatino Linotype" w:hAnsi="Palatino Linotype" w:cs="Arial"/>
        </w:rPr>
        <w:t>os</w:t>
      </w:r>
      <w:r w:rsidRPr="00CC0EC5">
        <w:rPr>
          <w:rFonts w:ascii="Palatino Linotype" w:hAnsi="Palatino Linotype" w:cs="Arial"/>
        </w:rPr>
        <w:t xml:space="preserve"> Recurso</w:t>
      </w:r>
      <w:r w:rsidR="0044164A">
        <w:rPr>
          <w:rFonts w:ascii="Palatino Linotype" w:hAnsi="Palatino Linotype" w:cs="Arial"/>
        </w:rPr>
        <w:t>s</w:t>
      </w:r>
      <w:r w:rsidRPr="00CC0EC5">
        <w:rPr>
          <w:rFonts w:ascii="Palatino Linotype" w:hAnsi="Palatino Linotype" w:cs="Arial"/>
        </w:rPr>
        <w:t xml:space="preserve"> de Inconformidad</w:t>
      </w:r>
      <w:r w:rsidR="0044164A">
        <w:rPr>
          <w:rFonts w:ascii="Palatino Linotype" w:hAnsi="Palatino Linotype" w:cs="Arial"/>
        </w:rPr>
        <w:t xml:space="preserve"> </w:t>
      </w:r>
      <w:r w:rsidR="0044164A" w:rsidRPr="00CC0EC5">
        <w:rPr>
          <w:rFonts w:ascii="Palatino Linotype" w:hAnsi="Palatino Linotype" w:cs="Arial"/>
          <w:lang w:eastAsia="es-MX"/>
        </w:rPr>
        <w:t>069/18 y RIA 082/18</w:t>
      </w:r>
      <w:r w:rsidR="0044164A">
        <w:rPr>
          <w:rFonts w:ascii="Palatino Linotype" w:hAnsi="Palatino Linotype" w:cs="Arial"/>
        </w:rPr>
        <w:t xml:space="preserve">, en los que el Órgano Garante Nacional, puntualmente dirigió a este Órgano Garante local, que </w:t>
      </w:r>
      <w:r w:rsidR="0044164A">
        <w:rPr>
          <w:rFonts w:ascii="Palatino Linotype" w:hAnsi="Palatino Linotype" w:cs="Arial"/>
        </w:rPr>
        <w:lastRenderedPageBreak/>
        <w:t xml:space="preserve">para invocar la causal de reserva, se deben de agotar todos y cada uno de los requisitos. </w:t>
      </w:r>
    </w:p>
    <w:p w:rsidR="00CC0EC5" w:rsidRPr="000B4397" w:rsidRDefault="00CC0EC5" w:rsidP="000058D9">
      <w:pPr>
        <w:pStyle w:val="Prrafodelista"/>
        <w:spacing w:line="360" w:lineRule="auto"/>
        <w:ind w:left="0" w:right="49"/>
        <w:jc w:val="both"/>
        <w:rPr>
          <w:rFonts w:ascii="Palatino Linotype" w:hAnsi="Palatino Linotype" w:cs="Arial"/>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 xml:space="preserve">Por lo que, es de suma importancia atender las observaciones que ha realizado nuestra Autoridad Nacional en  materia de transparencia, al señalarnos que la propuesta de reserva de la información, sin configurar los requisitos señalados para ésta, afecta la certidumbre jurídica, daña la esfera más íntima de derechos del particular, al tenor de que, el limitarse a realizar un estudio normativo de contraste con diversos ordenamientos jurídicos, es únicamente un ejercicio de argumentación, más no comprende, en estricto sentido un reclamo de derechos subjetivos, una generación de derechos, reclamo de una de las partes u otras que requieran un análisis sigiloso y confidencial del juzgador.  </w:t>
      </w:r>
      <w:r w:rsidRPr="001A2DAB">
        <w:rPr>
          <w:rFonts w:ascii="Palatino Linotype" w:hAnsi="Palatino Linotype" w:cs="Arial"/>
        </w:rPr>
        <w:t xml:space="preserve"> </w:t>
      </w:r>
    </w:p>
    <w:p w:rsidR="00CC0EC5" w:rsidRDefault="00CC0EC5" w:rsidP="000058D9">
      <w:pPr>
        <w:pStyle w:val="Prrafodelista"/>
        <w:spacing w:line="360" w:lineRule="auto"/>
        <w:ind w:left="0" w:right="49"/>
        <w:jc w:val="both"/>
        <w:rPr>
          <w:rFonts w:ascii="Palatino Linotype" w:hAnsi="Palatino Linotype" w:cs="Arial"/>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Pr>
          <w:rFonts w:ascii="Palatino Linotype" w:hAnsi="Palatino Linotype" w:cs="Arial"/>
        </w:rPr>
        <w:t>E</w:t>
      </w:r>
      <w:r w:rsidRPr="001A2DAB">
        <w:rPr>
          <w:rFonts w:ascii="Palatino Linotype" w:hAnsi="Palatino Linotype" w:cs="Arial"/>
        </w:rPr>
        <w:t xml:space="preserve">s necesario señalar que </w:t>
      </w:r>
      <w:r>
        <w:rPr>
          <w:rFonts w:ascii="Palatino Linotype" w:hAnsi="Palatino Linotype" w:cs="Arial"/>
        </w:rPr>
        <w:t>el</w:t>
      </w:r>
      <w:r w:rsidRPr="001A2DAB">
        <w:rPr>
          <w:rFonts w:ascii="Palatino Linotype" w:hAnsi="Palatino Linotype" w:cs="Arial"/>
        </w:rPr>
        <w:t xml:space="preserve"> </w:t>
      </w:r>
      <w:r>
        <w:rPr>
          <w:rFonts w:ascii="Palatino Linotype" w:hAnsi="Palatino Linotype" w:cs="Arial"/>
        </w:rPr>
        <w:t>Derecho de Acceso a la Información (</w:t>
      </w:r>
      <w:r w:rsidRPr="001A2DAB">
        <w:rPr>
          <w:rFonts w:ascii="Palatino Linotype" w:hAnsi="Palatino Linotype" w:cs="Arial"/>
        </w:rPr>
        <w:t>DAI</w:t>
      </w:r>
      <w:r>
        <w:rPr>
          <w:rFonts w:ascii="Palatino Linotype" w:hAnsi="Palatino Linotype" w:cs="Arial"/>
        </w:rPr>
        <w:t>)</w:t>
      </w:r>
      <w:r w:rsidRPr="001A2DAB">
        <w:rPr>
          <w:rFonts w:ascii="Palatino Linotype" w:hAnsi="Palatino Linotype" w:cs="Arial"/>
        </w:rPr>
        <w:t>, tiene una justificación clara y precisa que se deriva de un aspecto de singular importancia, ya que lo que tratamos y pretendemos resolver consiste en el ejercicio de un derecho humano constitucional y convencionalmente reconocido.</w:t>
      </w:r>
    </w:p>
    <w:p w:rsidR="00CC0EC5" w:rsidRPr="001A2DAB" w:rsidRDefault="00CC0EC5" w:rsidP="000058D9">
      <w:pPr>
        <w:pStyle w:val="Prrafodelista"/>
        <w:spacing w:line="360" w:lineRule="auto"/>
        <w:rPr>
          <w:rFonts w:ascii="Palatino Linotype" w:hAnsi="Palatino Linotype" w:cs="Arial"/>
        </w:rPr>
      </w:pPr>
    </w:p>
    <w:p w:rsidR="00CC0EC5" w:rsidRPr="001A2DAB"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right="49" w:firstLine="0"/>
        <w:jc w:val="both"/>
        <w:rPr>
          <w:rFonts w:ascii="Palatino Linotype" w:hAnsi="Palatino Linotype" w:cs="Arial"/>
        </w:rPr>
      </w:pPr>
      <w:r w:rsidRPr="001A2DAB">
        <w:rPr>
          <w:rFonts w:ascii="Palatino Linotype" w:hAnsi="Palatino Linotype" w:cs="Arial"/>
        </w:rPr>
        <w:t xml:space="preserve"> Por tanto, al tratar directamente con un derecho humano, todas las autoridades nos vemos impuestas del supremo mandato constitucional consistente en la promoción, respeto, protección y </w:t>
      </w:r>
      <w:r w:rsidRPr="001A2DAB">
        <w:rPr>
          <w:rFonts w:ascii="Palatino Linotype" w:hAnsi="Palatino Linotype" w:cs="Arial"/>
          <w:b/>
        </w:rPr>
        <w:t>garantía de los derechos humanos</w:t>
      </w:r>
      <w:r w:rsidRPr="001A2DAB">
        <w:rPr>
          <w:rFonts w:ascii="Palatino Linotype" w:hAnsi="Palatino Linotype" w:cs="Arial"/>
        </w:rPr>
        <w:t xml:space="preserve">, de tal forma que cualquier esfuerzo que se haga en el sentido de cumplir con dicho </w:t>
      </w:r>
      <w:r w:rsidRPr="001A2DAB">
        <w:rPr>
          <w:rFonts w:ascii="Palatino Linotype" w:hAnsi="Palatino Linotype" w:cs="Arial"/>
        </w:rPr>
        <w:lastRenderedPageBreak/>
        <w:t>mandato no resulta ocioso ni sobra sino demuestra el grado de compromiso de la autoridad con este aspecto toral de la reforma constitucional del 10 de junio de 2011.</w:t>
      </w:r>
    </w:p>
    <w:p w:rsidR="00CC0EC5" w:rsidRPr="007F0A7B" w:rsidRDefault="00CC0EC5" w:rsidP="000058D9">
      <w:pPr>
        <w:pStyle w:val="Prrafodelista"/>
        <w:spacing w:before="240" w:after="240" w:line="360" w:lineRule="auto"/>
        <w:ind w:left="0" w:right="49"/>
        <w:jc w:val="both"/>
        <w:rPr>
          <w:rFonts w:ascii="Palatino Linotype" w:hAnsi="Palatino Linotype" w:cs="Arial"/>
        </w:rPr>
      </w:pPr>
    </w:p>
    <w:p w:rsidR="00CC0EC5" w:rsidRPr="0094352B"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924DF4">
        <w:rPr>
          <w:rFonts w:ascii="Palatino Linotype" w:hAnsi="Palatino Linotype" w:cs="Arial"/>
        </w:rPr>
        <w:t>En este sentido el Dr. Miguel Carbonell ha señalado que:</w:t>
      </w:r>
      <w:r>
        <w:rPr>
          <w:rFonts w:ascii="Palatino Linotype" w:hAnsi="Palatino Linotype" w:cs="Arial"/>
        </w:rPr>
        <w:t xml:space="preserve"> </w:t>
      </w:r>
      <w:r w:rsidRPr="0094352B">
        <w:rPr>
          <w:rFonts w:ascii="Palatino Linotype" w:hAnsi="Palatino Linotype" w:cs="Arial"/>
        </w:rPr>
        <w:t xml:space="preserve">“Queda claro, en consecuencia, que las obligaciones de promoción, respeto, protección y garantía de los derechos corren a cargo de todos los poderes, incluso </w:t>
      </w:r>
      <w:r w:rsidRPr="0094352B">
        <w:rPr>
          <w:rFonts w:ascii="Palatino Linotype" w:hAnsi="Palatino Linotype" w:cs="Arial"/>
          <w:b/>
        </w:rPr>
        <w:t>considerando que algún nivel de gobierno tenga obligaciones reforzadas hacia ciertos derechos.</w:t>
      </w:r>
      <w:r w:rsidRPr="0094352B">
        <w:rPr>
          <w:rFonts w:ascii="Palatino Linotype" w:hAnsi="Palatino Linotype" w:cs="Arial"/>
        </w:rPr>
        <w:t xml:space="preserve"> A partir de tales deberes generales, podemos afirmar que las autoridades de todos los niveles de gobierno también tienen la obligación positiva de </w:t>
      </w:r>
      <w:r w:rsidRPr="0094352B">
        <w:rPr>
          <w:rFonts w:ascii="Palatino Linotype" w:hAnsi="Palatino Linotype" w:cs="Arial"/>
          <w:b/>
        </w:rPr>
        <w:t>tomar todas las medidas que sean pertinentes para tutelar y hacer eficaz un derecho</w:t>
      </w:r>
      <w:r w:rsidRPr="0094352B">
        <w:rPr>
          <w:rFonts w:ascii="Palatino Linotype" w:hAnsi="Palatino Linotype" w:cs="Arial"/>
        </w:rPr>
        <w:t>”.</w:t>
      </w:r>
      <w:r w:rsidRPr="00924DF4">
        <w:rPr>
          <w:rStyle w:val="Refdenotaalpie"/>
          <w:rFonts w:ascii="Palatino Linotype" w:hAnsi="Palatino Linotype" w:cs="Arial"/>
        </w:rPr>
        <w:footnoteReference w:id="1"/>
      </w:r>
    </w:p>
    <w:p w:rsidR="00CC0EC5" w:rsidRDefault="00CC0EC5" w:rsidP="000058D9">
      <w:pPr>
        <w:pStyle w:val="Prrafodelista"/>
        <w:spacing w:line="360" w:lineRule="auto"/>
        <w:ind w:left="0"/>
        <w:jc w:val="both"/>
        <w:rPr>
          <w:rFonts w:ascii="Palatino Linotype" w:hAnsi="Palatino Linotype" w:cs="Arial"/>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Al tenor de lo anterior, y al ser el Instituto de Transparencia y Acceso a la Información, la autoridad protectora de tal derecho reconocido en diversas normatividades, el que suscribe dicho voto no se percató del cumplimiento de la facultad consagrada en la ley de la materia en su artículo 185, fracción V,  donde a la letra refiere que: </w:t>
      </w:r>
    </w:p>
    <w:p w:rsidR="00CC0EC5" w:rsidRDefault="00CC0EC5" w:rsidP="000058D9">
      <w:pPr>
        <w:pStyle w:val="Prrafodelista"/>
        <w:spacing w:line="360" w:lineRule="auto"/>
        <w:ind w:left="360"/>
        <w:jc w:val="both"/>
        <w:rPr>
          <w:rFonts w:ascii="Palatino Linotype" w:hAnsi="Palatino Linotype" w:cs="Arial"/>
        </w:rPr>
      </w:pPr>
    </w:p>
    <w:p w:rsidR="00CC0EC5" w:rsidRPr="0094352B" w:rsidRDefault="00CC0EC5" w:rsidP="000058D9">
      <w:pPr>
        <w:pStyle w:val="Prrafodelista"/>
        <w:spacing w:line="360" w:lineRule="auto"/>
        <w:ind w:left="851" w:right="616"/>
        <w:jc w:val="both"/>
        <w:rPr>
          <w:rFonts w:ascii="Palatino Linotype" w:hAnsi="Palatino Linotype" w:cs="Arial"/>
        </w:rPr>
      </w:pPr>
      <w:r>
        <w:rPr>
          <w:rFonts w:ascii="Palatino Linotype" w:hAnsi="Palatino Linotype" w:cs="Arial"/>
        </w:rPr>
        <w:t>“</w:t>
      </w:r>
      <w:r w:rsidRPr="0094352B">
        <w:rPr>
          <w:rFonts w:ascii="Palatino Linotype" w:hAnsi="Palatino Linotype" w:cs="Arial"/>
        </w:rPr>
        <w:t>Artículo 185. El instituto resolverá el recurso de revisión conforme a lo siguiente:</w:t>
      </w:r>
    </w:p>
    <w:p w:rsidR="00CC0EC5" w:rsidRPr="0094352B" w:rsidRDefault="00CC0EC5" w:rsidP="000058D9">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p>
    <w:p w:rsidR="00CC0EC5" w:rsidRPr="0094352B" w:rsidRDefault="00CC0EC5" w:rsidP="000058D9">
      <w:pPr>
        <w:pStyle w:val="Prrafodelista"/>
        <w:spacing w:line="360" w:lineRule="auto"/>
        <w:ind w:left="851" w:right="616"/>
        <w:jc w:val="both"/>
        <w:rPr>
          <w:rFonts w:ascii="Palatino Linotype" w:hAnsi="Palatino Linotype" w:cs="Arial"/>
        </w:rPr>
      </w:pPr>
      <w:r w:rsidRPr="0094352B">
        <w:rPr>
          <w:rFonts w:ascii="Palatino Linotype" w:hAnsi="Palatino Linotype" w:cs="Arial"/>
        </w:rPr>
        <w:lastRenderedPageBreak/>
        <w:t xml:space="preserve">V. La o el Comisionado ponente podrá determinar la celebración de audiencias con las partes durante la sustanciación del proceso. </w:t>
      </w:r>
    </w:p>
    <w:p w:rsidR="00CC0EC5" w:rsidRPr="0094352B" w:rsidRDefault="00CC0EC5" w:rsidP="000058D9">
      <w:pPr>
        <w:pStyle w:val="Prrafodelista"/>
        <w:spacing w:line="360" w:lineRule="auto"/>
        <w:ind w:left="851" w:right="616"/>
        <w:jc w:val="both"/>
        <w:rPr>
          <w:rFonts w:ascii="Palatino Linotype" w:hAnsi="Palatino Linotype" w:cs="Arial"/>
        </w:rPr>
      </w:pPr>
      <w:r w:rsidRPr="0094352B">
        <w:rPr>
          <w:rFonts w:ascii="Palatino Linotype" w:hAnsi="Palatino Linotype" w:cs="Arial"/>
        </w:rPr>
        <w:t xml:space="preserve">(…) </w:t>
      </w:r>
      <w:r>
        <w:rPr>
          <w:rFonts w:ascii="Palatino Linotype" w:hAnsi="Palatino Linotype" w:cs="Arial"/>
        </w:rPr>
        <w:t>“</w:t>
      </w:r>
    </w:p>
    <w:p w:rsidR="00CC0EC5" w:rsidRPr="0094352B" w:rsidRDefault="00CC0EC5" w:rsidP="000058D9">
      <w:pPr>
        <w:spacing w:line="360" w:lineRule="auto"/>
        <w:jc w:val="both"/>
        <w:rPr>
          <w:rFonts w:ascii="Palatino Linotype" w:hAnsi="Palatino Linotype" w:cs="Arial"/>
        </w:rPr>
      </w:pPr>
    </w:p>
    <w:p w:rsidR="000360E2"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 xml:space="preserve">En relación con lo anterior, considero que la ponencia resolutora debió de pronunciarse sobre la naturaleza de lo requerido sin ningún tipo de ambigüedad, es decir, tuvo que determinar si la información tenía el carácter de reserva o no, sin dejarlo al arbitrio del sujeto obligado, efectuando dicho análisis atendiendo a lo establecido en el artículo 182 de la ley en la materia, donde se señala que (…) los Comisionados deberán tener acceso a la información clasificada para determinar su naturaleza según se requiera. El acceso se dará de conformidad con la normatividad previamente establecida por los sujetos obligados para el resguardo o salvaguarda de la información a través de la celebración de audiencias como lo señalo en el párrafo que antecede, todo esto </w:t>
      </w:r>
      <w:r w:rsidRPr="00A97A66">
        <w:rPr>
          <w:rFonts w:ascii="Palatino Linotype" w:hAnsi="Palatino Linotype" w:cs="Arial"/>
        </w:rPr>
        <w:t xml:space="preserve">con el propósito de dar mayor certeza a la resolución dictada o por el contrario conocer fehacientemente si la información en posesión del sujeto obligado es susceptible de reservarse. </w:t>
      </w:r>
    </w:p>
    <w:p w:rsidR="004A456D" w:rsidRPr="004A456D" w:rsidRDefault="004A456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360"/>
        <w:jc w:val="both"/>
        <w:rPr>
          <w:rFonts w:ascii="Palatino Linotype" w:hAnsi="Palatino Linotype" w:cs="Arial"/>
        </w:rPr>
      </w:pPr>
    </w:p>
    <w:p w:rsidR="000360E2" w:rsidRPr="00427B79" w:rsidRDefault="000360E2" w:rsidP="000058D9">
      <w:pPr>
        <w:pStyle w:val="Ttulo1"/>
        <w:rPr>
          <w:rFonts w:eastAsia="Calibri"/>
          <w:b w:val="0"/>
          <w:color w:val="auto"/>
        </w:rPr>
      </w:pPr>
      <w:bookmarkStart w:id="8" w:name="_Toc503458425"/>
      <w:bookmarkStart w:id="9" w:name="_Toc527374609"/>
      <w:r w:rsidRPr="00427B79">
        <w:rPr>
          <w:rFonts w:eastAsia="Calibri"/>
          <w:color w:val="auto"/>
        </w:rPr>
        <w:t>Del Pronunciamiento simple</w:t>
      </w:r>
      <w:bookmarkEnd w:id="8"/>
      <w:r>
        <w:rPr>
          <w:rFonts w:eastAsia="Calibri"/>
          <w:color w:val="auto"/>
        </w:rPr>
        <w:t>.</w:t>
      </w:r>
      <w:bookmarkEnd w:id="9"/>
    </w:p>
    <w:p w:rsidR="000360E2" w:rsidRPr="00427B79" w:rsidRDefault="000360E2" w:rsidP="000058D9">
      <w:pPr>
        <w:spacing w:line="360" w:lineRule="auto"/>
        <w:contextualSpacing/>
        <w:jc w:val="both"/>
        <w:rPr>
          <w:rFonts w:ascii="Palatino Linotype" w:eastAsia="Calibri" w:hAnsi="Palatino Linotype" w:cs="Arial"/>
        </w:rPr>
      </w:pPr>
    </w:p>
    <w:p w:rsidR="004A456D"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r>
        <w:rPr>
          <w:rFonts w:ascii="Palatino Linotype" w:hAnsi="Palatino Linotype" w:cs="Arial"/>
        </w:rPr>
        <w:t>Ahora bien, en el mismo sentido, es menester señalar que esta ponencia observó que la resolución puntualmente indica lo siguiente respecto a los incisos “</w:t>
      </w:r>
      <w:r w:rsidRPr="002F622C">
        <w:rPr>
          <w:rFonts w:ascii="Palatino Linotype" w:hAnsi="Palatino Linotype" w:cs="Arial"/>
          <w:i/>
        </w:rPr>
        <w:t>a</w:t>
      </w:r>
      <w:r>
        <w:rPr>
          <w:rFonts w:ascii="Palatino Linotype" w:hAnsi="Palatino Linotype" w:cs="Arial"/>
          <w:i/>
        </w:rPr>
        <w:t>, c, f”</w:t>
      </w:r>
      <w:r>
        <w:rPr>
          <w:rFonts w:ascii="Palatino Linotype" w:hAnsi="Palatino Linotype" w:cs="Arial"/>
        </w:rPr>
        <w:t>:</w:t>
      </w:r>
    </w:p>
    <w:p w:rsidR="004A456D" w:rsidRPr="000360E2" w:rsidRDefault="004A456D"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rFonts w:ascii="Palatino Linotype" w:hAnsi="Palatino Linotype" w:cs="Arial"/>
        </w:rPr>
      </w:pPr>
    </w:p>
    <w:p w:rsidR="004A456D" w:rsidRDefault="004A456D" w:rsidP="000058D9">
      <w:pPr>
        <w:pStyle w:val="Prrafodelista"/>
        <w:spacing w:line="360" w:lineRule="auto"/>
        <w:ind w:left="567"/>
        <w:rPr>
          <w:rFonts w:ascii="Palatino Linotype" w:hAnsi="Palatino Linotype" w:cs="Arial"/>
        </w:rPr>
      </w:pPr>
      <w:r>
        <w:rPr>
          <w:rFonts w:ascii="Palatino Linotype" w:hAnsi="Palatino Linotype" w:cs="Arial"/>
        </w:rPr>
        <w:t xml:space="preserve">(…) </w:t>
      </w:r>
    </w:p>
    <w:p w:rsidR="004A456D" w:rsidRPr="002F622C" w:rsidRDefault="004A456D" w:rsidP="000058D9">
      <w:pPr>
        <w:pStyle w:val="Prrafodelista"/>
        <w:spacing w:line="360" w:lineRule="auto"/>
        <w:ind w:left="567"/>
        <w:rPr>
          <w:rFonts w:ascii="Palatino Linotype" w:hAnsi="Palatino Linotype" w:cs="Arial"/>
        </w:rPr>
      </w:pPr>
    </w:p>
    <w:p w:rsidR="004A456D" w:rsidRDefault="004A456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hAnsi="Palatino Linotype" w:cs="Arial"/>
          <w:i/>
          <w:lang w:val="es-ES_tradnl"/>
        </w:rPr>
      </w:pPr>
      <w:r>
        <w:rPr>
          <w:rFonts w:ascii="Palatino Linotype" w:hAnsi="Palatino Linotype"/>
          <w:i/>
        </w:rPr>
        <w:t xml:space="preserve">“a) </w:t>
      </w:r>
      <w:r w:rsidRPr="00A202A6">
        <w:rPr>
          <w:rFonts w:ascii="Palatino Linotype" w:hAnsi="Palatino Linotype"/>
          <w:i/>
        </w:rPr>
        <w:t>Previa búsqueda exhaustiva y razonable, de ser procedente en versión pública demás documentos que acrediten la forma y proceso de donación del primer predio referido por el particular en la solicitud;</w:t>
      </w:r>
      <w:r w:rsidRPr="00A202A6">
        <w:rPr>
          <w:rFonts w:ascii="Palatino Linotype" w:hAnsi="Palatino Linotype" w:cs="Arial"/>
          <w:i/>
          <w:lang w:val="es-ES_tradnl"/>
        </w:rPr>
        <w:t xml:space="preserve"> para el caso de que los documentos remitidos en respuesta sean los únicos, bastará con hacerl</w:t>
      </w:r>
      <w:r>
        <w:rPr>
          <w:rFonts w:ascii="Palatino Linotype" w:hAnsi="Palatino Linotype" w:cs="Arial"/>
          <w:i/>
          <w:lang w:val="es-ES_tradnl"/>
        </w:rPr>
        <w:t xml:space="preserve">o del conocimiento al </w:t>
      </w:r>
      <w:proofErr w:type="spellStart"/>
      <w:r>
        <w:rPr>
          <w:rFonts w:ascii="Palatino Linotype" w:hAnsi="Palatino Linotype" w:cs="Arial"/>
          <w:i/>
          <w:lang w:val="es-ES_tradnl"/>
        </w:rPr>
        <w:t>particula</w:t>
      </w:r>
      <w:proofErr w:type="spellEnd"/>
      <w:r>
        <w:rPr>
          <w:rFonts w:ascii="Palatino Linotype" w:hAnsi="Palatino Linotype" w:cs="Arial"/>
          <w:i/>
          <w:lang w:val="es-ES_tradnl"/>
        </w:rPr>
        <w:t xml:space="preserve">”. </w:t>
      </w:r>
    </w:p>
    <w:p w:rsidR="004A456D" w:rsidRPr="000360E2" w:rsidRDefault="004A456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jc w:val="both"/>
        <w:rPr>
          <w:rFonts w:ascii="Palatino Linotype" w:hAnsi="Palatino Linotype" w:cs="Arial"/>
          <w:i/>
          <w:lang w:val="es-ES_tradnl"/>
        </w:rPr>
      </w:pPr>
    </w:p>
    <w:p w:rsidR="004A456D" w:rsidRDefault="004A456D" w:rsidP="000058D9">
      <w:pPr>
        <w:spacing w:line="360" w:lineRule="auto"/>
        <w:ind w:left="567" w:right="899"/>
        <w:jc w:val="both"/>
        <w:rPr>
          <w:rFonts w:ascii="Palatino Linotype" w:hAnsi="Palatino Linotype"/>
          <w:b/>
          <w:i/>
        </w:rPr>
      </w:pPr>
      <w:r>
        <w:rPr>
          <w:rFonts w:ascii="Palatino Linotype" w:hAnsi="Palatino Linotype"/>
          <w:i/>
        </w:rPr>
        <w:t>“</w:t>
      </w:r>
      <w:r w:rsidRPr="002F622C">
        <w:rPr>
          <w:rFonts w:ascii="Palatino Linotype" w:hAnsi="Palatino Linotype"/>
          <w:i/>
        </w:rPr>
        <w:t>c) En versión pública</w:t>
      </w:r>
      <w:r w:rsidRPr="002F622C">
        <w:rPr>
          <w:rFonts w:ascii="Palatino Linotype" w:hAnsi="Palatino Linotype"/>
          <w:b/>
          <w:i/>
        </w:rPr>
        <w:t xml:space="preserve"> </w:t>
      </w:r>
      <w:r w:rsidRPr="002F622C">
        <w:rPr>
          <w:rFonts w:ascii="Palatino Linotype" w:hAnsi="Palatino Linotype"/>
          <w:i/>
        </w:rPr>
        <w:t xml:space="preserve">la licencia de uso de suelo del primer predio referido por el particular; para el caso de que no se hubiera generado, poseído o administrado, bastará con hacerlo del conocimiento al </w:t>
      </w:r>
      <w:r w:rsidRPr="002F622C">
        <w:rPr>
          <w:rFonts w:ascii="Palatino Linotype" w:hAnsi="Palatino Linotype"/>
          <w:b/>
          <w:i/>
        </w:rPr>
        <w:t>RECURRENTE;</w:t>
      </w:r>
    </w:p>
    <w:p w:rsidR="004A456D" w:rsidRDefault="004A456D" w:rsidP="000058D9">
      <w:pPr>
        <w:spacing w:line="360" w:lineRule="auto"/>
        <w:ind w:right="899"/>
        <w:jc w:val="both"/>
        <w:rPr>
          <w:rFonts w:ascii="Palatino Linotype" w:hAnsi="Palatino Linotype"/>
          <w:b/>
          <w:i/>
        </w:rPr>
      </w:pPr>
    </w:p>
    <w:p w:rsidR="004A456D" w:rsidRDefault="004A456D" w:rsidP="000058D9">
      <w:pPr>
        <w:spacing w:line="360" w:lineRule="auto"/>
        <w:ind w:left="567" w:right="899"/>
        <w:jc w:val="both"/>
        <w:rPr>
          <w:rFonts w:ascii="Palatino Linotype" w:hAnsi="Palatino Linotype"/>
          <w:b/>
          <w:i/>
        </w:rPr>
      </w:pPr>
      <w:r>
        <w:rPr>
          <w:rFonts w:ascii="Palatino Linotype" w:hAnsi="Palatino Linotype" w:cs="Arial"/>
          <w:i/>
        </w:rPr>
        <w:t>“</w:t>
      </w:r>
      <w:r w:rsidRPr="00A202A6">
        <w:rPr>
          <w:rFonts w:ascii="Palatino Linotype" w:hAnsi="Palatino Linotype" w:cs="Arial"/>
          <w:i/>
        </w:rPr>
        <w:t>f) E</w:t>
      </w:r>
      <w:r w:rsidRPr="00A202A6">
        <w:rPr>
          <w:rFonts w:ascii="Palatino Linotype" w:hAnsi="Palatino Linotype"/>
          <w:i/>
        </w:rPr>
        <w:t>l Acuerdo de Clasificación de la información en su totalidad como confidencial que deberá realizar su Comité de Transparencia, respecto de los documentos que acrediten el pago del impuesto predial de 2018 del primer predio referido en la solicitud, en términos de los artículos 122 y 143 de la Ley de Transparencia y Acceso a la Información Pública del Estado de México y Municipios, p</w:t>
      </w:r>
      <w:r w:rsidRPr="00A202A6">
        <w:rPr>
          <w:rFonts w:ascii="Palatino Linotype" w:hAnsi="Palatino Linotype" w:cs="Arial"/>
          <w:i/>
        </w:rPr>
        <w:t>revia búsqueda exhaustiva y razonable</w:t>
      </w:r>
      <w:r w:rsidRPr="00A202A6">
        <w:rPr>
          <w:rFonts w:ascii="Palatino Linotype" w:hAnsi="Palatino Linotype"/>
          <w:i/>
        </w:rPr>
        <w:t xml:space="preserve">; para el caso de que no se hubiese efectuado el pago bastará con hacerlo del conocimiento al </w:t>
      </w:r>
      <w:r w:rsidRPr="00A202A6">
        <w:rPr>
          <w:rFonts w:ascii="Palatino Linotype" w:hAnsi="Palatino Linotype"/>
          <w:b/>
          <w:i/>
        </w:rPr>
        <w:t>RECURRENTE</w:t>
      </w:r>
      <w:r>
        <w:rPr>
          <w:rFonts w:ascii="Palatino Linotype" w:hAnsi="Palatino Linotype"/>
          <w:b/>
          <w:i/>
        </w:rPr>
        <w:t>”</w:t>
      </w:r>
    </w:p>
    <w:p w:rsidR="004A456D" w:rsidRDefault="004A456D" w:rsidP="000058D9">
      <w:pPr>
        <w:spacing w:line="360" w:lineRule="auto"/>
        <w:ind w:left="567" w:right="899"/>
        <w:jc w:val="both"/>
        <w:rPr>
          <w:rFonts w:ascii="Palatino Linotype" w:hAnsi="Palatino Linotype"/>
          <w:i/>
        </w:rPr>
      </w:pPr>
    </w:p>
    <w:p w:rsidR="004A456D" w:rsidRDefault="004A456D" w:rsidP="000058D9">
      <w:pPr>
        <w:spacing w:line="360" w:lineRule="auto"/>
        <w:ind w:left="567" w:right="899"/>
        <w:jc w:val="both"/>
        <w:rPr>
          <w:rFonts w:ascii="Palatino Linotype" w:hAnsi="Palatino Linotype"/>
          <w:i/>
        </w:rPr>
      </w:pPr>
      <w:r>
        <w:rPr>
          <w:rFonts w:ascii="Palatino Linotype" w:hAnsi="Palatino Linotype"/>
          <w:i/>
        </w:rPr>
        <w:lastRenderedPageBreak/>
        <w:t xml:space="preserve">(…) </w:t>
      </w:r>
    </w:p>
    <w:p w:rsidR="004A456D" w:rsidRPr="000360E2" w:rsidRDefault="004A456D" w:rsidP="000058D9">
      <w:pPr>
        <w:spacing w:line="360" w:lineRule="auto"/>
        <w:ind w:right="899"/>
        <w:jc w:val="both"/>
        <w:rPr>
          <w:rFonts w:ascii="Palatino Linotype" w:hAnsi="Palatino Linotype"/>
          <w:i/>
        </w:rPr>
      </w:pPr>
    </w:p>
    <w:p w:rsidR="004A456D"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En razón con lo anterior, se advierte que la ponencia señaló que en el caso de que el SUJETO OBLIGADO no cuente con la información, bastará con que se pronuncie al respecto y lo haga del conocimiento del particular.</w:t>
      </w:r>
    </w:p>
    <w:p w:rsidR="004A456D" w:rsidRDefault="004A456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r>
        <w:rPr>
          <w:rFonts w:ascii="Palatino Linotype" w:hAnsi="Palatino Linotype" w:cs="Arial"/>
        </w:rPr>
        <w:t xml:space="preserve"> </w:t>
      </w:r>
    </w:p>
    <w:p w:rsidR="004A456D"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 xml:space="preserve">Sin embargo, el que suscribe reitera que para lo anterior, es menester que el </w:t>
      </w:r>
      <w:r w:rsidRPr="000058D9">
        <w:rPr>
          <w:rFonts w:ascii="Palatino Linotype" w:hAnsi="Palatino Linotype" w:cs="Arial"/>
          <w:b/>
        </w:rPr>
        <w:t>SUJETO OBLIGADO</w:t>
      </w:r>
      <w:r>
        <w:rPr>
          <w:rFonts w:ascii="Palatino Linotype" w:hAnsi="Palatino Linotype" w:cs="Arial"/>
        </w:rPr>
        <w:t>, debe demostrar que no genera, posee o administra la información que requiere el solicitante, por lo que debe de motivar su respuesta en función de las causas que hayan generado tales circunstancias</w:t>
      </w:r>
      <w:r w:rsidRPr="000360E2">
        <w:rPr>
          <w:rFonts w:ascii="Palatino Linotype" w:hAnsi="Palatino Linotype" w:cs="Arial"/>
        </w:rPr>
        <w:t xml:space="preserve">. </w:t>
      </w:r>
    </w:p>
    <w:p w:rsidR="004A456D" w:rsidRPr="000360E2" w:rsidRDefault="004A456D" w:rsidP="000058D9">
      <w:pPr>
        <w:pStyle w:val="Prrafodelista"/>
        <w:spacing w:line="360" w:lineRule="auto"/>
        <w:rPr>
          <w:rFonts w:ascii="Palatino Linotype" w:hAnsi="Palatino Linotype" w:cs="Arial"/>
        </w:rPr>
      </w:pPr>
    </w:p>
    <w:p w:rsidR="004A456D"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t>P</w:t>
      </w:r>
      <w:r w:rsidRPr="000360E2">
        <w:rPr>
          <w:rFonts w:ascii="Palatino Linotype" w:hAnsi="Palatino Linotype" w:cs="Arial"/>
        </w:rPr>
        <w:t xml:space="preserve">ara que los </w:t>
      </w:r>
      <w:r w:rsidRPr="000360E2">
        <w:rPr>
          <w:rFonts w:ascii="Palatino Linotype" w:hAnsi="Palatino Linotype" w:cs="Arial"/>
          <w:b/>
        </w:rPr>
        <w:t>SUJETOS OBLIGADOS</w:t>
      </w:r>
      <w:r w:rsidRPr="000360E2">
        <w:rPr>
          <w:rFonts w:ascii="Palatino Linotype" w:hAnsi="Palatino Linotype" w:cs="Arial"/>
        </w:rPr>
        <w:t xml:space="preserve"> hagan efectivo el derecho de las personas de </w:t>
      </w:r>
      <w:r w:rsidRPr="000360E2">
        <w:rPr>
          <w:rFonts w:ascii="Palatino Linotype" w:hAnsi="Palatino Linotype" w:cs="Arial"/>
          <w:b/>
        </w:rPr>
        <w:t>buscar, recibir y difundir información pública</w:t>
      </w:r>
      <w:r w:rsidRPr="000360E2">
        <w:rPr>
          <w:rFonts w:ascii="Palatino Linotype" w:hAnsi="Palatino Linotype" w:cs="Arial"/>
        </w:rPr>
        <w:t xml:space="preserve">, información que los </w:t>
      </w:r>
      <w:r w:rsidRPr="000360E2">
        <w:rPr>
          <w:rFonts w:ascii="Palatino Linotype" w:hAnsi="Palatino Linotype" w:cs="Arial"/>
          <w:b/>
        </w:rPr>
        <w:t>SUJETOS OBLIGADOS</w:t>
      </w:r>
      <w:r w:rsidRPr="000360E2">
        <w:rPr>
          <w:rFonts w:ascii="Palatino Linotype" w:hAnsi="Palatino Linotype" w:cs="Arial"/>
        </w:rPr>
        <w:t xml:space="preserve"> generen, administren o posean, y que deben poner a disposición de los particulares los documentos en los que conste el ejercicio de sus atribuciones legales o que por cualquier circunstancia obre en sus archivos.</w:t>
      </w:r>
    </w:p>
    <w:p w:rsidR="004A456D" w:rsidRPr="000360E2" w:rsidRDefault="004A456D" w:rsidP="000058D9">
      <w:pPr>
        <w:pStyle w:val="Prrafodelista"/>
        <w:spacing w:line="360" w:lineRule="auto"/>
        <w:rPr>
          <w:rFonts w:ascii="Palatino Linotype" w:hAnsi="Palatino Linotype" w:cs="Arial"/>
        </w:rPr>
      </w:pPr>
    </w:p>
    <w:p w:rsidR="004A456D" w:rsidRPr="00427B79"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firstLine="0"/>
        <w:jc w:val="both"/>
        <w:rPr>
          <w:rFonts w:ascii="Palatino Linotype" w:hAnsi="Palatino Linotype" w:cs="Arial"/>
        </w:rPr>
      </w:pPr>
      <w:r w:rsidRPr="00427B79">
        <w:rPr>
          <w:rFonts w:ascii="Palatino Linotype" w:hAnsi="Palatino Linotype"/>
        </w:rPr>
        <w:t xml:space="preserve">Es necesario precisar que la transparencia es un principio jurídico que se concreta especialmente en el derecho fundamental de acceder a la información pública y que la aplicación del principio de transparencia y el respeto y garantía del derecho de acceder a la información pública, son elementos indispensables para afirmar que existe un verdadero estado social y democrático de derecho, en el cual </w:t>
      </w:r>
      <w:r w:rsidRPr="00427B79">
        <w:rPr>
          <w:rFonts w:ascii="Palatino Linotype" w:hAnsi="Palatino Linotype"/>
        </w:rPr>
        <w:lastRenderedPageBreak/>
        <w:t>todas las personas pueden participar activamente en los asuntos que las afecten y una Administración Pública comprometida con el bienestar general.</w:t>
      </w:r>
    </w:p>
    <w:p w:rsidR="004A456D" w:rsidRPr="00427B79" w:rsidRDefault="004A456D" w:rsidP="000058D9">
      <w:pPr>
        <w:pStyle w:val="Prrafodelista"/>
        <w:spacing w:before="240" w:after="240" w:line="360" w:lineRule="auto"/>
        <w:ind w:left="0"/>
        <w:jc w:val="both"/>
        <w:rPr>
          <w:rFonts w:ascii="Palatino Linotype" w:hAnsi="Palatino Linotype" w:cs="Arial"/>
        </w:rPr>
      </w:pPr>
    </w:p>
    <w:p w:rsidR="004A456D" w:rsidRPr="00427B79"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27B79">
        <w:rPr>
          <w:rFonts w:ascii="Palatino Linotype" w:hAnsi="Palatino Linotype"/>
        </w:rPr>
        <w:t>Por otra parte, tenemos la rendición de cuenta pública; que supone la capacidad de las instituciones para hacer responsables a los gobernantes de sus actos y decisiones en los distintos niveles de poder, eso permite evitar, prevenir y en su caso, castigar el abuso de poder.</w:t>
      </w:r>
    </w:p>
    <w:p w:rsidR="004A456D" w:rsidRPr="00427B79" w:rsidRDefault="004A456D" w:rsidP="000058D9">
      <w:pPr>
        <w:pStyle w:val="Prrafodelista"/>
        <w:spacing w:before="240" w:after="240" w:line="360" w:lineRule="auto"/>
        <w:ind w:left="0"/>
        <w:jc w:val="both"/>
        <w:rPr>
          <w:rFonts w:ascii="Palatino Linotype" w:hAnsi="Palatino Linotype" w:cs="Arial"/>
        </w:rPr>
      </w:pPr>
    </w:p>
    <w:p w:rsidR="004A456D" w:rsidRPr="00427B79"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27B79">
        <w:rPr>
          <w:rFonts w:ascii="Palatino Linotype" w:hAnsi="Palatino Linotype"/>
        </w:rPr>
        <w:t>Por lo tanto, el principio de la rendición de cuentas y la transparencia encuentran un objetivo en común, buscar conciliar el interés colectivo con el interés particular de los gobernantes, si los gobernantes, funcionarios, representantes y líderes políticos, es decir, todos los que dispongan de algún poder político, saben que puedan ser llamados a cuentas, que su acción política, su desempeño gubernamental y sus decisiones podrán generar efectos positivos o negativos a su interés personal, tendrán mayor diligencia en el momento de ejercer el poder y atenderán, tanto el interés colectivo como la relación de medios y fines en el quehacer gubernamental, precisamente para que el resultado de sus resoluciones no afecte o perjudique el interés general o el particular de sus gobernados y representados.</w:t>
      </w:r>
    </w:p>
    <w:p w:rsidR="004A456D" w:rsidRPr="00427B79" w:rsidRDefault="004A456D" w:rsidP="000058D9">
      <w:pPr>
        <w:pStyle w:val="Prrafodelista"/>
        <w:spacing w:before="240" w:after="240" w:line="360" w:lineRule="auto"/>
        <w:ind w:left="0"/>
        <w:jc w:val="both"/>
        <w:rPr>
          <w:rFonts w:ascii="Palatino Linotype" w:hAnsi="Palatino Linotype" w:cs="Arial"/>
        </w:rPr>
      </w:pPr>
    </w:p>
    <w:p w:rsidR="004A456D"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27B79">
        <w:rPr>
          <w:rFonts w:ascii="Palatino Linotype" w:hAnsi="Palatino Linotype"/>
        </w:rPr>
        <w:t xml:space="preserve">La Constitución Política de los Estados Unidos Mexicanos, adopta la </w:t>
      </w:r>
      <w:r w:rsidRPr="00427B79">
        <w:rPr>
          <w:rFonts w:ascii="Palatino Linotype" w:hAnsi="Palatino Linotype"/>
          <w:i/>
        </w:rPr>
        <w:t xml:space="preserve">ratio </w:t>
      </w:r>
      <w:proofErr w:type="spellStart"/>
      <w:r w:rsidRPr="00427B79">
        <w:rPr>
          <w:rFonts w:ascii="Palatino Linotype" w:hAnsi="Palatino Linotype"/>
          <w:i/>
        </w:rPr>
        <w:t>decidendi</w:t>
      </w:r>
      <w:proofErr w:type="spellEnd"/>
      <w:r w:rsidRPr="00427B79">
        <w:rPr>
          <w:rFonts w:ascii="Palatino Linotype" w:hAnsi="Palatino Linotype"/>
        </w:rPr>
        <w:t xml:space="preserve"> en la sentencia de la Corte Interamericana de Derechos Humanos, de que </w:t>
      </w:r>
      <w:r w:rsidRPr="00427B79">
        <w:rPr>
          <w:rFonts w:ascii="Palatino Linotype" w:hAnsi="Palatino Linotype"/>
        </w:rPr>
        <w:lastRenderedPageBreak/>
        <w:t>en principio es posible acceder a toda información pública, salvo que la ley de manera justificada, proporcionada y razonable establezca alguna restricción a dicho acceso, de modo que las restricciones están limitadas en el tiempo, pues el principio acogido es el de la máxima publicidad. Obviamente, este acceso se garantiza sin menoscabo de la intimidad de la vida privada y de los datos personales.</w:t>
      </w:r>
    </w:p>
    <w:p w:rsidR="004A456D" w:rsidRPr="000360E2" w:rsidRDefault="004A456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before="240" w:after="240" w:line="360" w:lineRule="auto"/>
        <w:ind w:left="0"/>
        <w:jc w:val="both"/>
        <w:rPr>
          <w:rFonts w:ascii="Palatino Linotype" w:hAnsi="Palatino Linotype" w:cs="Arial"/>
        </w:rPr>
      </w:pPr>
    </w:p>
    <w:p w:rsidR="004A456D" w:rsidRPr="00427B79"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427B79">
        <w:rPr>
          <w:rFonts w:ascii="Palatino Linotype" w:hAnsi="Palatino Linotype"/>
        </w:rPr>
        <w:t>Por estas razones las leyes de transparencia y acceso a la información en México, tienen como objetivo primordial el garantizar que los ciudadanos puedan solicitar documentos que poseen las instituciones gubernamentales.</w:t>
      </w:r>
    </w:p>
    <w:p w:rsidR="004A456D" w:rsidRPr="00427B79" w:rsidRDefault="004A456D" w:rsidP="000058D9">
      <w:pPr>
        <w:pStyle w:val="Prrafodelista"/>
        <w:spacing w:line="360" w:lineRule="auto"/>
        <w:ind w:left="0"/>
        <w:jc w:val="both"/>
        <w:rPr>
          <w:rFonts w:ascii="Palatino Linotype" w:hAnsi="Palatino Linotype" w:cs="Arial"/>
          <w:highlight w:val="lightGray"/>
        </w:rPr>
      </w:pPr>
    </w:p>
    <w:p w:rsidR="004A456D" w:rsidRPr="00D35B4C"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sidRPr="00D35B4C">
        <w:rPr>
          <w:rFonts w:ascii="Palatino Linotype" w:hAnsi="Palatino Linotype"/>
        </w:rPr>
        <w:t>En efecto, la Ley de Transparencia y Acceso a la Información Pública del Estado de México y Municipios, su propósito es transparentar el ejercicio de la función pública, tutelar y garantizar a toda persona, el ejercicio del derecho de acceso a la información pública, a sus datos personales, así como a la corrección y supresión de éstos y proteger los datos personales que se encuentren en posesión de los sujetos obligados.</w:t>
      </w:r>
    </w:p>
    <w:p w:rsidR="004A456D" w:rsidRPr="00D35B4C" w:rsidRDefault="004A456D" w:rsidP="000058D9">
      <w:pPr>
        <w:pStyle w:val="Prrafodelista"/>
        <w:spacing w:before="240" w:after="240" w:line="360" w:lineRule="auto"/>
        <w:ind w:left="0"/>
        <w:jc w:val="both"/>
        <w:rPr>
          <w:rFonts w:ascii="Palatino Linotype" w:hAnsi="Palatino Linotype" w:cs="Arial"/>
        </w:rPr>
      </w:pPr>
    </w:p>
    <w:p w:rsidR="004A456D" w:rsidRPr="00D35B4C" w:rsidRDefault="004A456D" w:rsidP="000058D9">
      <w:pPr>
        <w:pStyle w:val="Prrafodelista"/>
        <w:numPr>
          <w:ilvl w:val="0"/>
          <w:numId w:val="1"/>
        </w:numPr>
        <w:spacing w:line="360" w:lineRule="auto"/>
        <w:ind w:left="0" w:firstLine="0"/>
        <w:jc w:val="both"/>
        <w:rPr>
          <w:rFonts w:ascii="Palatino Linotype" w:hAnsi="Palatino Linotype"/>
        </w:rPr>
      </w:pPr>
      <w:r w:rsidRPr="00D35B4C">
        <w:rPr>
          <w:rFonts w:ascii="Palatino Linotype" w:hAnsi="Palatino Linotype"/>
        </w:rPr>
        <w:t xml:space="preserve">Derivado de dicha obligación se impone también la obligación de </w:t>
      </w:r>
      <w:r w:rsidRPr="00D35B4C">
        <w:rPr>
          <w:rFonts w:ascii="Palatino Linotype" w:hAnsi="Palatino Linotype"/>
          <w:bCs/>
          <w:color w:val="000000" w:themeColor="text1"/>
        </w:rPr>
        <w:t>preservar sus documentos en archivos administrativos actualizados y publicarán a través de los medios electrónicos disponibles, la información que posean generen o administren de forma completa y actualizada.</w:t>
      </w:r>
    </w:p>
    <w:p w:rsidR="004A456D" w:rsidRPr="00427B79" w:rsidRDefault="004A456D" w:rsidP="000058D9">
      <w:pPr>
        <w:pStyle w:val="Prrafodelista"/>
        <w:spacing w:before="240" w:after="240" w:line="360" w:lineRule="auto"/>
        <w:ind w:left="0"/>
        <w:jc w:val="both"/>
        <w:rPr>
          <w:rFonts w:ascii="Palatino Linotype" w:hAnsi="Palatino Linotype"/>
          <w:bCs/>
          <w:color w:val="000000" w:themeColor="text1"/>
          <w:highlight w:val="lightGray"/>
        </w:rPr>
      </w:pPr>
    </w:p>
    <w:p w:rsidR="004A456D" w:rsidRPr="000360E2"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bCs/>
          <w:color w:val="000000" w:themeColor="text1"/>
        </w:rPr>
      </w:pPr>
      <w:r w:rsidRPr="00D35B4C">
        <w:rPr>
          <w:rFonts w:ascii="Palatino Linotype" w:hAnsi="Palatino Linotype"/>
        </w:rPr>
        <w:lastRenderedPageBreak/>
        <w:t>Bajo la tesitura de lo anteriormente expuesto</w:t>
      </w:r>
      <w:r w:rsidRPr="00D35B4C">
        <w:rPr>
          <w:rFonts w:ascii="Palatino Linotype" w:hAnsi="Palatino Linotype"/>
          <w:bCs/>
          <w:color w:val="000000" w:themeColor="text1"/>
        </w:rPr>
        <w:t xml:space="preserve"> </w:t>
      </w:r>
      <w:r w:rsidRPr="00D35B4C">
        <w:rPr>
          <w:rFonts w:ascii="Palatino Linotype" w:hAnsi="Palatino Linotype"/>
        </w:rPr>
        <w:t xml:space="preserve">se presume que la información debe existir si se refiere a las facultades, competencias y funciones que los ordenamientos jurídicos aplicables otorgan a los sujetos obligados. </w:t>
      </w:r>
    </w:p>
    <w:p w:rsidR="004A456D" w:rsidRPr="000360E2" w:rsidRDefault="004A456D" w:rsidP="000058D9">
      <w:pPr>
        <w:pStyle w:val="Prrafodelista"/>
        <w:spacing w:line="360" w:lineRule="auto"/>
        <w:rPr>
          <w:rFonts w:ascii="Palatino Linotype" w:hAnsi="Palatino Linotype"/>
          <w:bCs/>
          <w:color w:val="000000" w:themeColor="text1"/>
        </w:rPr>
      </w:pPr>
    </w:p>
    <w:p w:rsidR="004A456D" w:rsidRPr="00427B79" w:rsidRDefault="004A456D"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bCs/>
          <w:color w:val="000000" w:themeColor="text1"/>
          <w:highlight w:val="lightGray"/>
        </w:rPr>
      </w:pPr>
      <w:r w:rsidRPr="00D35B4C">
        <w:rPr>
          <w:rFonts w:ascii="Palatino Linotype" w:hAnsi="Palatino Linotype"/>
          <w:bCs/>
          <w:color w:val="000000" w:themeColor="text1"/>
        </w:rPr>
        <w:t xml:space="preserve">Por lo que si en los puntos resolutivos se está ordenando </w:t>
      </w:r>
      <w:r>
        <w:rPr>
          <w:rFonts w:ascii="Palatino Linotype" w:hAnsi="Palatino Linotype"/>
          <w:bCs/>
          <w:color w:val="000000" w:themeColor="text1"/>
        </w:rPr>
        <w:t xml:space="preserve">al </w:t>
      </w:r>
      <w:r w:rsidRPr="00D35B4C">
        <w:rPr>
          <w:rFonts w:ascii="Palatino Linotype" w:hAnsi="Palatino Linotype"/>
          <w:b/>
          <w:bCs/>
          <w:color w:val="000000" w:themeColor="text1"/>
        </w:rPr>
        <w:t>SUJETO OBLIGADO</w:t>
      </w:r>
      <w:r>
        <w:rPr>
          <w:rFonts w:ascii="Palatino Linotype" w:hAnsi="Palatino Linotype"/>
          <w:bCs/>
          <w:color w:val="000000" w:themeColor="text1"/>
        </w:rPr>
        <w:t xml:space="preserve"> </w:t>
      </w:r>
      <w:r>
        <w:rPr>
          <w:rFonts w:ascii="Palatino Linotype" w:hAnsi="Palatino Linotype" w:cs="Arial"/>
        </w:rPr>
        <w:t xml:space="preserve">realizar una búsqueda de la información solicitada en términos del </w:t>
      </w:r>
      <w:r w:rsidRPr="00D35B4C">
        <w:rPr>
          <w:rFonts w:ascii="Palatino Linotype" w:hAnsi="Palatino Linotype" w:cs="Arial"/>
        </w:rPr>
        <w:t>Considerando</w:t>
      </w:r>
      <w:r>
        <w:rPr>
          <w:rFonts w:ascii="Palatino Linotype" w:hAnsi="Palatino Linotype" w:cs="Arial"/>
          <w:b/>
        </w:rPr>
        <w:t xml:space="preserve"> QUINTO</w:t>
      </w:r>
      <w:r w:rsidRPr="00D35B4C">
        <w:rPr>
          <w:rFonts w:ascii="Palatino Linotype" w:hAnsi="Palatino Linotype" w:cs="Arial"/>
        </w:rPr>
        <w:t>, y entregarla al particular ya no cabe la manifestación simple y llana, sino que se deben observar dos puntos importantes:</w:t>
      </w:r>
    </w:p>
    <w:p w:rsidR="004A456D" w:rsidRPr="00427B79" w:rsidRDefault="004A456D" w:rsidP="000058D9">
      <w:pPr>
        <w:pStyle w:val="Prrafodelista"/>
        <w:spacing w:before="240" w:after="240" w:line="360" w:lineRule="auto"/>
        <w:ind w:left="0"/>
        <w:jc w:val="both"/>
        <w:rPr>
          <w:rFonts w:ascii="Palatino Linotype" w:hAnsi="Palatino Linotype"/>
          <w:bCs/>
          <w:color w:val="000000" w:themeColor="text1"/>
          <w:highlight w:val="lightGray"/>
        </w:rPr>
      </w:pPr>
    </w:p>
    <w:p w:rsidR="004A456D" w:rsidRPr="00D35B4C" w:rsidRDefault="004A456D" w:rsidP="000058D9">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bCs/>
          <w:color w:val="000000" w:themeColor="text1"/>
        </w:rPr>
      </w:pPr>
      <w:r w:rsidRPr="00D35B4C">
        <w:rPr>
          <w:rFonts w:ascii="Palatino Linotype" w:hAnsi="Palatino Linotype"/>
          <w:bCs/>
          <w:color w:val="000000" w:themeColor="text1"/>
        </w:rPr>
        <w:t xml:space="preserve">Si la posesión de la información es de carácter inexcusable, es decir </w:t>
      </w:r>
      <w:r w:rsidRPr="00D35B4C">
        <w:rPr>
          <w:rFonts w:ascii="Palatino Linotype" w:hAnsi="Palatino Linotype"/>
        </w:rPr>
        <w:t>si el sujeto obligado, en el ejercicio de sus atribuciones, debía generar, poseer o administrar la información, pero ésta</w:t>
      </w:r>
      <w:r>
        <w:rPr>
          <w:rFonts w:ascii="Palatino Linotype" w:hAnsi="Palatino Linotype"/>
        </w:rPr>
        <w:t xml:space="preserve"> no se encuentra, el Comité de T</w:t>
      </w:r>
      <w:r w:rsidRPr="00D35B4C">
        <w:rPr>
          <w:rFonts w:ascii="Palatino Linotype" w:hAnsi="Palatino Linotype"/>
        </w:rPr>
        <w:t>ransparencia deberá emitir un acuerdo de inexistencia.</w:t>
      </w:r>
    </w:p>
    <w:p w:rsidR="004A456D" w:rsidRPr="00D35B4C" w:rsidRDefault="004A456D" w:rsidP="000058D9">
      <w:pPr>
        <w:pStyle w:val="Prrafodelista"/>
        <w:spacing w:before="240" w:after="240" w:line="360" w:lineRule="auto"/>
        <w:ind w:left="567" w:right="616"/>
        <w:jc w:val="both"/>
        <w:rPr>
          <w:rFonts w:ascii="Palatino Linotype" w:hAnsi="Palatino Linotype"/>
          <w:bCs/>
          <w:color w:val="000000" w:themeColor="text1"/>
        </w:rPr>
      </w:pPr>
    </w:p>
    <w:p w:rsidR="004A456D" w:rsidRPr="004A456D" w:rsidRDefault="004A456D" w:rsidP="000058D9">
      <w:pPr>
        <w:pStyle w:val="Prrafodelista"/>
        <w:numPr>
          <w:ilvl w:val="0"/>
          <w:numId w:val="49"/>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567" w:right="616" w:firstLine="0"/>
        <w:jc w:val="both"/>
        <w:rPr>
          <w:rFonts w:ascii="Palatino Linotype" w:hAnsi="Palatino Linotype"/>
          <w:bCs/>
          <w:color w:val="000000" w:themeColor="text1"/>
        </w:rPr>
      </w:pPr>
      <w:r w:rsidRPr="00D35B4C">
        <w:rPr>
          <w:rFonts w:ascii="Palatino Linotype" w:hAnsi="Palatino Linotype"/>
        </w:rPr>
        <w:t>O bien pudiera suscitarse el supuesto aplicable al presente asunto, que la facultad sea de carácter potestativo o que su realización dependa de un carácter externo, en ese caso debe señalarse se debe motivar la respuesta en función de las causas que motiven tal circunstancia, en el que detalle las razones del por qué no obra en sus archivos.</w:t>
      </w:r>
    </w:p>
    <w:p w:rsidR="004A456D" w:rsidRPr="004A456D" w:rsidRDefault="004A456D"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right="616"/>
        <w:jc w:val="both"/>
        <w:rPr>
          <w:rFonts w:ascii="Palatino Linotype" w:hAnsi="Palatino Linotype"/>
          <w:bCs/>
          <w:color w:val="000000" w:themeColor="text1"/>
        </w:rPr>
      </w:pPr>
    </w:p>
    <w:p w:rsidR="000360E2" w:rsidRPr="00427B79"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eastAsia="Calibri" w:hAnsi="Palatino Linotype" w:cs="Arial"/>
        </w:rPr>
      </w:pPr>
      <w:r w:rsidRPr="00427B79">
        <w:rPr>
          <w:rFonts w:ascii="Palatino Linotype" w:eastAsia="Calibri" w:hAnsi="Palatino Linotype" w:cs="Arial"/>
        </w:rPr>
        <w:t xml:space="preserve">En numerosas ocasiones he mencionado que la fundamentación y motivación es una obligación inherente y fundamental de todas las autoridades </w:t>
      </w:r>
      <w:r w:rsidRPr="00427B79">
        <w:rPr>
          <w:rFonts w:ascii="Palatino Linotype" w:eastAsia="Calibri" w:hAnsi="Palatino Linotype" w:cs="Arial"/>
        </w:rPr>
        <w:lastRenderedPageBreak/>
        <w:t xml:space="preserve">independientemente del grado jerárquico con el que cuenten, y en el presente recurso de revisión que hoy nos ocupa no será  la excepción en la que señale este aspecto, para lo cual es importante hacer mención lo que el </w:t>
      </w:r>
      <w:r w:rsidRPr="00427B79">
        <w:rPr>
          <w:rFonts w:ascii="Palatino Linotype" w:eastAsia="Times New Roman" w:hAnsi="Palatino Linotype" w:cs="Arial"/>
          <w:lang w:val="es-ES_tradnl" w:eastAsia="es-MX"/>
        </w:rPr>
        <w:t>intérprete judicial del país ha establecido en una jurisprudencia respecto a qué debe entenderse por fundamentación y motivación, en los siguientes términos:</w:t>
      </w:r>
    </w:p>
    <w:p w:rsidR="000360E2" w:rsidRPr="00427B79" w:rsidRDefault="000360E2" w:rsidP="000058D9">
      <w:pPr>
        <w:spacing w:line="360" w:lineRule="auto"/>
        <w:ind w:right="618"/>
        <w:contextualSpacing/>
        <w:jc w:val="both"/>
        <w:rPr>
          <w:rFonts w:ascii="Palatino Linotype" w:eastAsiaTheme="minorEastAsia" w:hAnsi="Palatino Linotype" w:cs="Arial"/>
          <w:lang w:val="es-ES_tradnl" w:eastAsia="es-ES"/>
        </w:rPr>
      </w:pPr>
    </w:p>
    <w:p w:rsidR="000360E2" w:rsidRPr="00B73B30" w:rsidRDefault="000360E2" w:rsidP="000058D9">
      <w:pPr>
        <w:spacing w:line="360" w:lineRule="auto"/>
        <w:ind w:left="284" w:right="333"/>
        <w:contextualSpacing/>
        <w:jc w:val="both"/>
        <w:rPr>
          <w:rFonts w:ascii="Palatino Linotype" w:eastAsiaTheme="minorEastAsia" w:hAnsi="Palatino Linotype" w:cs="Arial"/>
          <w:i/>
          <w:lang w:val="es-ES_tradnl" w:eastAsia="es-ES"/>
        </w:rPr>
      </w:pPr>
      <w:r w:rsidRPr="00B73B30">
        <w:rPr>
          <w:rFonts w:ascii="Palatino Linotype" w:eastAsiaTheme="minorEastAsia" w:hAnsi="Palatino Linotype" w:cs="Arial"/>
          <w:b/>
          <w:i/>
          <w:lang w:val="es-ES_tradnl" w:eastAsia="es-ES"/>
        </w:rPr>
        <w:t>FUNDAMENTACIÓN Y MOTIVACIÓN.</w:t>
      </w:r>
      <w:r w:rsidRPr="00B73B30">
        <w:rPr>
          <w:rFonts w:ascii="Palatino Linotype" w:eastAsiaTheme="minorEastAsia" w:hAnsi="Palatino Linotype" w:cs="Arial"/>
          <w:i/>
          <w:lang w:val="es-ES_tradnl" w:eastAsia="es-ES"/>
        </w:rPr>
        <w:t xml:space="preserve"> </w:t>
      </w:r>
      <w:r w:rsidRPr="00B73B30">
        <w:rPr>
          <w:rFonts w:ascii="Palatino Linotype" w:eastAsiaTheme="minorEastAsia" w:hAnsi="Palatino Linotype" w:cs="Arial"/>
          <w:i/>
          <w:u w:val="single"/>
          <w:lang w:val="es-ES_tradnl"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B73B30">
        <w:rPr>
          <w:rFonts w:ascii="Palatino Linotype" w:eastAsiaTheme="minorEastAsia" w:hAnsi="Palatino Linotype" w:cs="Arial"/>
          <w:i/>
          <w:lang w:val="es-ES_tradnl" w:eastAsia="es-ES"/>
        </w:rPr>
        <w:t>.</w:t>
      </w:r>
    </w:p>
    <w:p w:rsidR="000360E2" w:rsidRPr="004A456D" w:rsidRDefault="000360E2" w:rsidP="000058D9">
      <w:pPr>
        <w:spacing w:line="360" w:lineRule="auto"/>
        <w:ind w:left="284" w:right="333"/>
        <w:contextualSpacing/>
        <w:jc w:val="both"/>
        <w:rPr>
          <w:rFonts w:ascii="Palatino Linotype" w:eastAsiaTheme="minorEastAsia" w:hAnsi="Palatino Linotype" w:cs="Arial"/>
          <w:i/>
          <w:sz w:val="22"/>
          <w:lang w:val="es-ES_tradnl" w:eastAsia="es-ES"/>
        </w:rPr>
      </w:pPr>
      <w:r w:rsidRPr="004A456D">
        <w:rPr>
          <w:rFonts w:ascii="Palatino Linotype" w:eastAsiaTheme="minorEastAsia" w:hAnsi="Palatino Linotype" w:cs="Arial"/>
          <w:i/>
          <w:sz w:val="22"/>
          <w:lang w:val="es-ES_tradnl" w:eastAsia="es-ES"/>
        </w:rPr>
        <w:t>SEGUNDO TRIBUN</w:t>
      </w:r>
      <w:r w:rsidR="004A456D" w:rsidRPr="004A456D">
        <w:rPr>
          <w:rFonts w:ascii="Palatino Linotype" w:eastAsiaTheme="minorEastAsia" w:hAnsi="Palatino Linotype" w:cs="Arial"/>
          <w:i/>
          <w:sz w:val="22"/>
          <w:lang w:val="es-ES_tradnl" w:eastAsia="es-ES"/>
        </w:rPr>
        <w:t xml:space="preserve">AL COLEGIADO DEL SEXTO CIRCUITO. </w:t>
      </w:r>
      <w:r w:rsidRPr="004A456D">
        <w:rPr>
          <w:rFonts w:ascii="Palatino Linotype" w:eastAsiaTheme="minorEastAsia" w:hAnsi="Palatino Linotype" w:cs="Arial"/>
          <w:i/>
          <w:sz w:val="22"/>
          <w:lang w:val="es-ES_tradnl" w:eastAsia="es-ES"/>
        </w:rPr>
        <w:t>Amparo directo 194/88. Bufete Industrial Construcciones, S.A. de C.V. 28 de junio de 1988. Unanimidad de votos. Ponente: Gustavo Calvillo Rangel. Secretario: Jorge Alberto González Álvarez.</w:t>
      </w:r>
      <w:r w:rsidR="004A456D" w:rsidRPr="004A456D">
        <w:rPr>
          <w:rFonts w:ascii="Palatino Linotype" w:eastAsiaTheme="minorEastAsia" w:hAnsi="Palatino Linotype" w:cs="Arial"/>
          <w:i/>
          <w:sz w:val="22"/>
          <w:lang w:val="es-ES_tradnl" w:eastAsia="es-ES"/>
        </w:rPr>
        <w:t xml:space="preserve"> </w:t>
      </w:r>
      <w:r w:rsidRPr="004A456D">
        <w:rPr>
          <w:rFonts w:ascii="Palatino Linotype" w:eastAsiaTheme="minorEastAsia" w:hAnsi="Palatino Linotype" w:cs="Arial"/>
          <w:i/>
          <w:sz w:val="22"/>
          <w:lang w:val="es-ES_tradnl" w:eastAsia="es-ES"/>
        </w:rPr>
        <w:t xml:space="preserve">Revisión fiscal 103/88. Instituto Mexicano del Seguro Social. 18 de octubre de 1988. Unanimidad de votos. Ponente: Arnoldo Nájera Virgen. Secretario: Alejandro </w:t>
      </w:r>
      <w:proofErr w:type="spellStart"/>
      <w:r w:rsidRPr="004A456D">
        <w:rPr>
          <w:rFonts w:ascii="Palatino Linotype" w:eastAsiaTheme="minorEastAsia" w:hAnsi="Palatino Linotype" w:cs="Arial"/>
          <w:i/>
          <w:sz w:val="22"/>
          <w:lang w:val="es-ES_tradnl" w:eastAsia="es-ES"/>
        </w:rPr>
        <w:t>Esponda</w:t>
      </w:r>
      <w:proofErr w:type="spellEnd"/>
      <w:r w:rsidRPr="004A456D">
        <w:rPr>
          <w:rFonts w:ascii="Palatino Linotype" w:eastAsiaTheme="minorEastAsia" w:hAnsi="Palatino Linotype" w:cs="Arial"/>
          <w:i/>
          <w:sz w:val="22"/>
          <w:lang w:val="es-ES_tradnl" w:eastAsia="es-ES"/>
        </w:rPr>
        <w:t xml:space="preserve"> Rincón.</w:t>
      </w:r>
      <w:r w:rsidR="004A456D" w:rsidRPr="004A456D">
        <w:rPr>
          <w:rFonts w:ascii="Palatino Linotype" w:eastAsiaTheme="minorEastAsia" w:hAnsi="Palatino Linotype" w:cs="Arial"/>
          <w:i/>
          <w:sz w:val="22"/>
          <w:lang w:val="es-ES_tradnl" w:eastAsia="es-ES"/>
        </w:rPr>
        <w:t xml:space="preserve"> </w:t>
      </w:r>
      <w:r w:rsidRPr="004A456D">
        <w:rPr>
          <w:rFonts w:ascii="Palatino Linotype" w:eastAsiaTheme="minorEastAsia" w:hAnsi="Palatino Linotype" w:cs="Arial"/>
          <w:i/>
          <w:sz w:val="22"/>
          <w:lang w:val="es-ES_tradnl" w:eastAsia="es-ES"/>
        </w:rPr>
        <w:t xml:space="preserve">Amparo en revisión 333/88. </w:t>
      </w:r>
      <w:proofErr w:type="spellStart"/>
      <w:r w:rsidRPr="004A456D">
        <w:rPr>
          <w:rFonts w:ascii="Palatino Linotype" w:eastAsiaTheme="minorEastAsia" w:hAnsi="Palatino Linotype" w:cs="Arial"/>
          <w:i/>
          <w:sz w:val="22"/>
          <w:lang w:val="es-ES_tradnl" w:eastAsia="es-ES"/>
        </w:rPr>
        <w:t>Adilia</w:t>
      </w:r>
      <w:proofErr w:type="spellEnd"/>
      <w:r w:rsidRPr="004A456D">
        <w:rPr>
          <w:rFonts w:ascii="Palatino Linotype" w:eastAsiaTheme="minorEastAsia" w:hAnsi="Palatino Linotype" w:cs="Arial"/>
          <w:i/>
          <w:sz w:val="22"/>
          <w:lang w:val="es-ES_tradnl" w:eastAsia="es-ES"/>
        </w:rPr>
        <w:t xml:space="preserve"> Romero. 26 de octubre de 1988. Unanimidad de votos. Ponente: Arnoldo Nájera Virgen. Secretario: Enrique Crispín Campos Ramírez.</w:t>
      </w:r>
      <w:r w:rsidR="004A456D" w:rsidRPr="004A456D">
        <w:rPr>
          <w:rFonts w:ascii="Palatino Linotype" w:eastAsiaTheme="minorEastAsia" w:hAnsi="Palatino Linotype" w:cs="Arial"/>
          <w:i/>
          <w:sz w:val="22"/>
          <w:lang w:val="es-ES_tradnl" w:eastAsia="es-ES"/>
        </w:rPr>
        <w:t xml:space="preserve"> </w:t>
      </w:r>
      <w:r w:rsidRPr="004A456D">
        <w:rPr>
          <w:rFonts w:ascii="Palatino Linotype" w:eastAsiaTheme="minorEastAsia" w:hAnsi="Palatino Linotype" w:cs="Arial"/>
          <w:i/>
          <w:sz w:val="22"/>
          <w:lang w:val="es-ES_tradnl" w:eastAsia="es-ES"/>
        </w:rPr>
        <w:t xml:space="preserve">Amparo en revisión 597/95. Emilio Maurer Bretón. 15 de noviembre de 1995. Unanimidad de votos. Ponente: Clementina Ramírez Moguel </w:t>
      </w:r>
      <w:proofErr w:type="spellStart"/>
      <w:r w:rsidRPr="004A456D">
        <w:rPr>
          <w:rFonts w:ascii="Palatino Linotype" w:eastAsiaTheme="minorEastAsia" w:hAnsi="Palatino Linotype" w:cs="Arial"/>
          <w:i/>
          <w:sz w:val="22"/>
          <w:lang w:val="es-ES_tradnl" w:eastAsia="es-ES"/>
        </w:rPr>
        <w:t>Goyzueta</w:t>
      </w:r>
      <w:proofErr w:type="spellEnd"/>
      <w:r w:rsidRPr="004A456D">
        <w:rPr>
          <w:rFonts w:ascii="Palatino Linotype" w:eastAsiaTheme="minorEastAsia" w:hAnsi="Palatino Linotype" w:cs="Arial"/>
          <w:i/>
          <w:sz w:val="22"/>
          <w:lang w:val="es-ES_tradnl" w:eastAsia="es-ES"/>
        </w:rPr>
        <w:t>. Secretario: Gonzalo Carrera Molina.</w:t>
      </w:r>
      <w:r w:rsidR="004A456D" w:rsidRPr="004A456D">
        <w:rPr>
          <w:rFonts w:ascii="Palatino Linotype" w:eastAsiaTheme="minorEastAsia" w:hAnsi="Palatino Linotype" w:cs="Arial"/>
          <w:i/>
          <w:sz w:val="22"/>
          <w:lang w:val="es-ES_tradnl" w:eastAsia="es-ES"/>
        </w:rPr>
        <w:t xml:space="preserve"> </w:t>
      </w:r>
      <w:r w:rsidRPr="004A456D">
        <w:rPr>
          <w:rFonts w:ascii="Palatino Linotype" w:eastAsiaTheme="minorEastAsia" w:hAnsi="Palatino Linotype" w:cs="Arial"/>
          <w:i/>
          <w:sz w:val="22"/>
          <w:lang w:val="es-ES_tradnl" w:eastAsia="es-ES"/>
        </w:rPr>
        <w:t xml:space="preserve">Amparo directo 7/96. Pedro Vicente López Miro. 21 de febrero de 1996. Unanimidad de votos. Ponente: María Eugenia Estela Martínez Cardiel. Secretario: Enrique </w:t>
      </w:r>
      <w:proofErr w:type="spellStart"/>
      <w:r w:rsidRPr="004A456D">
        <w:rPr>
          <w:rFonts w:ascii="Palatino Linotype" w:eastAsiaTheme="minorEastAsia" w:hAnsi="Palatino Linotype" w:cs="Arial"/>
          <w:i/>
          <w:sz w:val="22"/>
          <w:lang w:val="es-ES_tradnl" w:eastAsia="es-ES"/>
        </w:rPr>
        <w:t>Baigts</w:t>
      </w:r>
      <w:proofErr w:type="spellEnd"/>
      <w:r w:rsidRPr="004A456D">
        <w:rPr>
          <w:rFonts w:ascii="Palatino Linotype" w:eastAsiaTheme="minorEastAsia" w:hAnsi="Palatino Linotype" w:cs="Arial"/>
          <w:i/>
          <w:sz w:val="22"/>
          <w:lang w:val="es-ES_tradnl" w:eastAsia="es-ES"/>
        </w:rPr>
        <w:t xml:space="preserve"> Muñoz.</w:t>
      </w:r>
    </w:p>
    <w:p w:rsidR="000360E2" w:rsidRPr="00427B79" w:rsidRDefault="000360E2" w:rsidP="000058D9">
      <w:pPr>
        <w:spacing w:line="360" w:lineRule="auto"/>
        <w:contextualSpacing/>
        <w:jc w:val="both"/>
        <w:rPr>
          <w:rFonts w:ascii="Palatino Linotype" w:eastAsiaTheme="minorEastAsia" w:hAnsi="Palatino Linotype" w:cs="Arial"/>
          <w:lang w:val="es-ES" w:eastAsia="es-ES"/>
        </w:rPr>
      </w:pPr>
    </w:p>
    <w:p w:rsidR="000360E2" w:rsidRPr="00427B79"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eastAsia="Calibri" w:hAnsi="Palatino Linotype" w:cs="Arial"/>
        </w:rPr>
      </w:pPr>
      <w:r w:rsidRPr="00427B79">
        <w:rPr>
          <w:rFonts w:ascii="Palatino Linotype" w:eastAsia="Calibri" w:hAnsi="Palatino Linotype" w:cs="Arial"/>
        </w:rPr>
        <w:lastRenderedPageBreak/>
        <w:t>Así</w:t>
      </w:r>
      <w:r>
        <w:rPr>
          <w:rFonts w:ascii="Palatino Linotype" w:eastAsia="Calibri" w:hAnsi="Palatino Linotype" w:cs="Arial"/>
        </w:rPr>
        <w:t>,</w:t>
      </w:r>
      <w:r w:rsidRPr="00427B79">
        <w:rPr>
          <w:rFonts w:ascii="Palatino Linotype" w:eastAsia="Calibri" w:hAnsi="Palatino Linotype" w:cs="Arial"/>
        </w:rPr>
        <w:t xml:space="preserve"> </w:t>
      </w:r>
      <w:r w:rsidRPr="00427B79">
        <w:rPr>
          <w:rFonts w:ascii="Palatino Linotype" w:eastAsia="Times New Roman" w:hAnsi="Palatino Linotype" w:cs="Arial"/>
          <w:lang w:val="es-ES_tradnl" w:eastAsia="es-MX"/>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0360E2" w:rsidRPr="00427B79" w:rsidRDefault="000360E2" w:rsidP="000058D9">
      <w:pPr>
        <w:spacing w:line="360" w:lineRule="auto"/>
        <w:contextualSpacing/>
        <w:jc w:val="both"/>
        <w:rPr>
          <w:rFonts w:ascii="Palatino Linotype" w:eastAsia="Calibri" w:hAnsi="Palatino Linotype" w:cs="Arial"/>
        </w:rPr>
      </w:pPr>
    </w:p>
    <w:p w:rsidR="000360E2"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eastAsia="Calibri" w:hAnsi="Palatino Linotype" w:cs="Arial"/>
        </w:rPr>
      </w:pPr>
      <w:r w:rsidRPr="00427B79">
        <w:rPr>
          <w:rFonts w:ascii="Palatino Linotype" w:eastAsia="Calibri" w:hAnsi="Palatino Linotype" w:cs="Arial"/>
        </w:rPr>
        <w:t xml:space="preserve">Lo anterior </w:t>
      </w:r>
      <w:r w:rsidR="004A456D">
        <w:rPr>
          <w:rFonts w:ascii="Palatino Linotype" w:eastAsia="Calibri" w:hAnsi="Palatino Linotype" w:cs="Arial"/>
        </w:rPr>
        <w:t>en razón</w:t>
      </w:r>
      <w:r w:rsidRPr="00427B79">
        <w:rPr>
          <w:rFonts w:ascii="Palatino Linotype" w:eastAsia="Calibri" w:hAnsi="Palatino Linotype" w:cs="Arial"/>
        </w:rPr>
        <w:t xml:space="preserve"> de que el Sujeto Obligado se limitó simplemente a manifestar </w:t>
      </w:r>
      <w:r w:rsidRPr="00427B79">
        <w:rPr>
          <w:rFonts w:ascii="Palatino Linotype" w:eastAsia="Calibri" w:hAnsi="Palatino Linotype" w:cs="Arial"/>
          <w:i/>
        </w:rPr>
        <w:t xml:space="preserve">“que no cuenta con la información” </w:t>
      </w:r>
      <w:r w:rsidRPr="00427B79">
        <w:rPr>
          <w:rFonts w:ascii="Palatino Linotype" w:eastAsia="Calibri" w:hAnsi="Palatino Linotype" w:cs="Arial"/>
        </w:rPr>
        <w:t xml:space="preserve">tal respuesta es considerada como un pronunciamiento simple; sin embargo, carece de fundamentación y motivación, toda vez que no explica de manera clara y precisa las razones por las que la información no es generada, poseída o administrada y por tanto no obra en los archivos del Sujeto Obligado, lo </w:t>
      </w:r>
      <w:r>
        <w:rPr>
          <w:rFonts w:ascii="Palatino Linotype" w:eastAsia="Calibri" w:hAnsi="Palatino Linotype" w:cs="Arial"/>
        </w:rPr>
        <w:t xml:space="preserve">que en consecuencia contradice </w:t>
      </w:r>
      <w:r>
        <w:rPr>
          <w:rFonts w:ascii="Palatino Linotype" w:eastAsia="Calibri" w:hAnsi="Palatino Linotype" w:cs="Arial"/>
          <w:u w:val="single"/>
        </w:rPr>
        <w:t>e</w:t>
      </w:r>
      <w:r w:rsidRPr="00427B79">
        <w:rPr>
          <w:rFonts w:ascii="Palatino Linotype" w:eastAsia="Calibri" w:hAnsi="Palatino Linotype" w:cs="Arial"/>
          <w:u w:val="single"/>
        </w:rPr>
        <w:t>l principio de certeza</w:t>
      </w:r>
      <w:r>
        <w:rPr>
          <w:rFonts w:ascii="Palatino Linotype" w:eastAsia="Calibri" w:hAnsi="Palatino Linotype" w:cs="Arial"/>
        </w:rPr>
        <w:t xml:space="preserve">, </w:t>
      </w:r>
      <w:r w:rsidRPr="00427B79">
        <w:rPr>
          <w:rFonts w:ascii="Palatino Linotype" w:eastAsia="Calibri" w:hAnsi="Palatino Linotype" w:cs="Arial"/>
        </w:rPr>
        <w:t>no brinda</w:t>
      </w:r>
      <w:r>
        <w:rPr>
          <w:rFonts w:ascii="Palatino Linotype" w:eastAsia="Calibri" w:hAnsi="Palatino Linotype" w:cs="Arial"/>
        </w:rPr>
        <w:t>ndo</w:t>
      </w:r>
      <w:r w:rsidRPr="00427B79">
        <w:rPr>
          <w:rFonts w:ascii="Palatino Linotype" w:eastAsia="Calibri" w:hAnsi="Palatino Linotype" w:cs="Arial"/>
        </w:rPr>
        <w:t xml:space="preserve"> seguridad y certidumbre jurídica al particular, imposibilitando conocer si la postura</w:t>
      </w:r>
      <w:r>
        <w:rPr>
          <w:rFonts w:ascii="Palatino Linotype" w:eastAsia="Calibri" w:hAnsi="Palatino Linotype" w:cs="Arial"/>
        </w:rPr>
        <w:t xml:space="preserve"> adoptada por el Sujeto Obligado</w:t>
      </w:r>
      <w:r w:rsidRPr="00427B79">
        <w:rPr>
          <w:rFonts w:ascii="Palatino Linotype" w:eastAsia="Calibri" w:hAnsi="Palatino Linotype" w:cs="Arial"/>
        </w:rPr>
        <w:t xml:space="preserve"> es apegada a derecho; y </w:t>
      </w:r>
      <w:r>
        <w:rPr>
          <w:rFonts w:ascii="Palatino Linotype" w:eastAsia="Calibri" w:hAnsi="Palatino Linotype" w:cs="Arial"/>
        </w:rPr>
        <w:t>en segundo lugar</w:t>
      </w:r>
      <w:r w:rsidRPr="00427B79">
        <w:rPr>
          <w:rFonts w:ascii="Palatino Linotype" w:eastAsia="Calibri" w:hAnsi="Palatino Linotype" w:cs="Arial"/>
        </w:rPr>
        <w:t xml:space="preserve"> </w:t>
      </w:r>
      <w:r>
        <w:rPr>
          <w:rFonts w:ascii="Palatino Linotype" w:eastAsia="Calibri" w:hAnsi="Palatino Linotype" w:cs="Arial"/>
          <w:u w:val="single"/>
        </w:rPr>
        <w:t>e</w:t>
      </w:r>
      <w:r w:rsidRPr="00427B79">
        <w:rPr>
          <w:rFonts w:ascii="Palatino Linotype" w:eastAsia="Calibri" w:hAnsi="Palatino Linotype" w:cs="Arial"/>
          <w:u w:val="single"/>
        </w:rPr>
        <w:t>l artículo 19 segundo párrafo</w:t>
      </w:r>
      <w:r w:rsidRPr="00427B79">
        <w:rPr>
          <w:rFonts w:ascii="Palatino Linotype" w:eastAsia="Calibri" w:hAnsi="Palatino Linotype" w:cs="Arial"/>
        </w:rPr>
        <w:t xml:space="preserve"> que señala </w:t>
      </w:r>
      <w:r w:rsidRPr="00427B79">
        <w:rPr>
          <w:rFonts w:ascii="Palatino Linotype" w:eastAsia="Calibri" w:hAnsi="Palatino Linotype" w:cs="Arial"/>
          <w:i/>
        </w:rPr>
        <w:t>“En los casos en que ciertas facultades, competencias o funciones no se hayan ejercido, se debe motivar la respuesta en función de las causas que motiven tal circunstancia.”</w:t>
      </w:r>
      <w:r w:rsidRPr="00427B79">
        <w:rPr>
          <w:rFonts w:ascii="Palatino Linotype" w:eastAsia="Calibri" w:hAnsi="Palatino Linotype" w:cs="Arial"/>
        </w:rPr>
        <w:t xml:space="preserve"> </w:t>
      </w:r>
    </w:p>
    <w:p w:rsidR="000360E2" w:rsidRDefault="000360E2" w:rsidP="000058D9">
      <w:pPr>
        <w:spacing w:line="360" w:lineRule="auto"/>
        <w:contextualSpacing/>
        <w:jc w:val="both"/>
        <w:rPr>
          <w:rFonts w:ascii="Palatino Linotype" w:eastAsia="Calibri" w:hAnsi="Palatino Linotype" w:cs="Arial"/>
        </w:rPr>
      </w:pPr>
    </w:p>
    <w:p w:rsidR="000360E2"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eastAsia="Calibri" w:hAnsi="Palatino Linotype" w:cs="Arial"/>
        </w:rPr>
      </w:pPr>
      <w:r>
        <w:rPr>
          <w:rFonts w:ascii="Palatino Linotype" w:eastAsia="Calibri" w:hAnsi="Palatino Linotype" w:cs="Arial"/>
        </w:rPr>
        <w:t xml:space="preserve">Por lo que si </w:t>
      </w:r>
      <w:r w:rsidRPr="00427B79">
        <w:rPr>
          <w:rFonts w:ascii="Palatino Linotype" w:eastAsia="Calibri" w:hAnsi="Palatino Linotype" w:cs="Arial"/>
        </w:rPr>
        <w:t xml:space="preserve">el Sujeto Obligado no genera, administra o posee la información que solicitó el particular, </w:t>
      </w:r>
      <w:r>
        <w:rPr>
          <w:rFonts w:ascii="Palatino Linotype" w:eastAsia="Calibri" w:hAnsi="Palatino Linotype" w:cs="Arial"/>
        </w:rPr>
        <w:t>el mismo deberá fundar y motivar</w:t>
      </w:r>
      <w:r w:rsidRPr="00427B79">
        <w:rPr>
          <w:rFonts w:ascii="Palatino Linotype" w:eastAsia="Calibri" w:hAnsi="Palatino Linotype" w:cs="Arial"/>
        </w:rPr>
        <w:t xml:space="preserve"> debidamente las razones o circunstancias por las que no genera, posee o administra la información precisando de manera clara, las razones que expliquen las causas por las que no se cuenta con la información requerida en el presente asunto.</w:t>
      </w:r>
    </w:p>
    <w:p w:rsidR="000360E2" w:rsidRDefault="000360E2" w:rsidP="000058D9">
      <w:pPr>
        <w:pStyle w:val="Prrafodelista"/>
        <w:spacing w:line="360" w:lineRule="auto"/>
        <w:rPr>
          <w:rFonts w:ascii="Palatino Linotype" w:eastAsia="Calibri" w:hAnsi="Palatino Linotype" w:cs="Arial"/>
          <w:lang w:val="es-ES_tradnl"/>
        </w:rPr>
      </w:pPr>
    </w:p>
    <w:p w:rsidR="000360E2" w:rsidRPr="00A22908"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eastAsia="Calibri" w:hAnsi="Palatino Linotype" w:cs="Arial"/>
        </w:rPr>
      </w:pPr>
      <w:r w:rsidRPr="00A22908">
        <w:rPr>
          <w:rFonts w:ascii="Palatino Linotype" w:eastAsia="Calibri" w:hAnsi="Palatino Linotype" w:cs="Arial"/>
          <w:lang w:val="es-ES_tradnl"/>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rsidR="000360E2" w:rsidRPr="00A22908" w:rsidRDefault="000360E2" w:rsidP="000058D9">
      <w:pPr>
        <w:spacing w:line="360" w:lineRule="auto"/>
        <w:contextualSpacing/>
        <w:jc w:val="both"/>
        <w:rPr>
          <w:rFonts w:ascii="Palatino Linotype" w:eastAsia="Calibri" w:hAnsi="Palatino Linotype" w:cs="Arial"/>
          <w:lang w:val="es-ES"/>
        </w:rPr>
      </w:pPr>
    </w:p>
    <w:p w:rsidR="000360E2" w:rsidRPr="00A22908" w:rsidRDefault="004A456D" w:rsidP="000058D9">
      <w:pPr>
        <w:spacing w:line="360" w:lineRule="auto"/>
        <w:ind w:left="567" w:right="616"/>
        <w:contextualSpacing/>
        <w:jc w:val="both"/>
        <w:rPr>
          <w:rFonts w:ascii="Palatino Linotype" w:eastAsia="Calibri" w:hAnsi="Palatino Linotype" w:cs="Arial"/>
          <w:i/>
          <w:lang w:val="es-ES_tradnl"/>
        </w:rPr>
      </w:pPr>
      <w:r>
        <w:rPr>
          <w:rFonts w:ascii="Palatino Linotype" w:eastAsia="Calibri" w:hAnsi="Palatino Linotype" w:cs="Arial"/>
          <w:b/>
          <w:i/>
          <w:lang w:val="es-ES_tradnl"/>
        </w:rPr>
        <w:t>“</w:t>
      </w:r>
      <w:r w:rsidR="000360E2" w:rsidRPr="00A22908">
        <w:rPr>
          <w:rFonts w:ascii="Palatino Linotype" w:eastAsia="Calibri" w:hAnsi="Palatino Linotype" w:cs="Arial"/>
          <w:b/>
          <w:i/>
          <w:lang w:val="es-ES_tradnl"/>
        </w:rPr>
        <w:t>Artículo 16.</w:t>
      </w:r>
      <w:r w:rsidR="000360E2" w:rsidRPr="00A22908">
        <w:rPr>
          <w:rFonts w:ascii="Palatino Linotype" w:eastAsia="Calibri" w:hAnsi="Palatino Linotype" w:cs="Arial"/>
          <w:i/>
          <w:lang w:val="es-ES_tradnl"/>
        </w:rPr>
        <w:t xml:space="preserve"> Nadie puede ser molestado en su persona, familia, domicilio, papeles o posesiones, </w:t>
      </w:r>
      <w:r w:rsidR="000360E2" w:rsidRPr="00A22908">
        <w:rPr>
          <w:rFonts w:ascii="Palatino Linotype" w:eastAsia="Calibri" w:hAnsi="Palatino Linotype" w:cs="Arial"/>
          <w:b/>
          <w:i/>
          <w:lang w:val="es-ES_tradnl"/>
        </w:rPr>
        <w:t>sino en virtud de mandamiento escrito de la autoridad competente, que funde y motive la causa legal del procedimiento</w:t>
      </w:r>
      <w:r>
        <w:rPr>
          <w:rFonts w:ascii="Palatino Linotype" w:eastAsia="Calibri" w:hAnsi="Palatino Linotype" w:cs="Arial"/>
          <w:i/>
          <w:lang w:val="es-ES_tradnl"/>
        </w:rPr>
        <w:t>”</w:t>
      </w:r>
    </w:p>
    <w:p w:rsidR="000360E2" w:rsidRPr="00A22908" w:rsidRDefault="000360E2" w:rsidP="000058D9">
      <w:pPr>
        <w:spacing w:line="360" w:lineRule="auto"/>
        <w:contextualSpacing/>
        <w:jc w:val="both"/>
        <w:rPr>
          <w:rFonts w:ascii="Palatino Linotype" w:eastAsia="Calibri" w:hAnsi="Palatino Linotype" w:cs="Arial"/>
          <w:lang w:val="es-ES_tradnl"/>
        </w:rPr>
      </w:pPr>
    </w:p>
    <w:p w:rsidR="000360E2"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lang w:val="es-ES_tradnl"/>
        </w:rPr>
      </w:pPr>
      <w:r w:rsidRPr="00A22908">
        <w:rPr>
          <w:rFonts w:ascii="Palatino Linotype" w:eastAsia="Calibri" w:hAnsi="Palatino Linotype" w:cs="Arial"/>
          <w:lang w:val="es-ES_tradnl"/>
        </w:rPr>
        <w:t>De este precepto se deduce que en el régimen jurídico mexicano, la fundamentación y motivación de los actos o resoluciones no es exclusiva de los órganos judiciales o jurisdiccionales, sino que se extiende a todas las autoridades.</w:t>
      </w:r>
    </w:p>
    <w:p w:rsidR="000360E2" w:rsidRDefault="000360E2" w:rsidP="000058D9">
      <w:pPr>
        <w:pStyle w:val="Prrafodelista"/>
        <w:spacing w:line="360" w:lineRule="auto"/>
        <w:ind w:left="0"/>
        <w:jc w:val="both"/>
        <w:rPr>
          <w:rFonts w:ascii="Palatino Linotype" w:eastAsia="Calibri" w:hAnsi="Palatino Linotype" w:cs="Arial"/>
          <w:lang w:val="es-ES_tradnl"/>
        </w:rPr>
      </w:pPr>
    </w:p>
    <w:p w:rsidR="000360E2"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lang w:val="es-ES_tradnl"/>
        </w:rPr>
      </w:pPr>
      <w:r w:rsidRPr="00A22908">
        <w:rPr>
          <w:rFonts w:ascii="Palatino Linotype" w:eastAsia="Calibri" w:hAnsi="Palatino Linotype" w:cs="Arial"/>
          <w:lang w:val="es-ES_tradnl"/>
        </w:rPr>
        <w:t>En este contexto, en todo acto que la autoridad pronuncie en el ejercicio de sus atribuciones, debe expresar los fundamentos legales que le dieron origen y las razones por las que se deben aplicar al caso concreto.</w:t>
      </w:r>
    </w:p>
    <w:p w:rsidR="000360E2" w:rsidRDefault="000360E2" w:rsidP="000058D9">
      <w:pPr>
        <w:pStyle w:val="Prrafodelista"/>
        <w:spacing w:line="360" w:lineRule="auto"/>
        <w:ind w:left="0"/>
        <w:jc w:val="both"/>
        <w:rPr>
          <w:rFonts w:ascii="Palatino Linotype" w:eastAsia="Calibri" w:hAnsi="Palatino Linotype" w:cs="Arial"/>
          <w:lang w:val="es-ES_tradnl"/>
        </w:rPr>
      </w:pPr>
    </w:p>
    <w:p w:rsidR="000360E2"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lang w:val="es-ES_tradnl"/>
        </w:rPr>
      </w:pPr>
      <w:r w:rsidRPr="00A22908">
        <w:rPr>
          <w:rFonts w:ascii="Palatino Linotype" w:eastAsia="Calibri" w:hAnsi="Palatino Linotype" w:cs="Arial"/>
          <w:lang w:val="es-ES_tradnl"/>
        </w:rPr>
        <w:lastRenderedPageBreak/>
        <w:t>Entonces, la fundamentación y motivación consiste en la obligación que tiene todo ente público de expresar los preceptos jurídicos aplicables al asunto motivo del acto y las razones o argumentos de su actuar.</w:t>
      </w:r>
    </w:p>
    <w:p w:rsidR="000360E2" w:rsidRPr="00A22908" w:rsidRDefault="000360E2" w:rsidP="000058D9">
      <w:pPr>
        <w:pStyle w:val="Prrafodelista"/>
        <w:spacing w:line="360" w:lineRule="auto"/>
        <w:rPr>
          <w:rFonts w:ascii="Palatino Linotype" w:eastAsia="Calibri" w:hAnsi="Palatino Linotype" w:cs="Arial"/>
          <w:lang w:val="es-ES_tradnl"/>
        </w:rPr>
      </w:pPr>
    </w:p>
    <w:p w:rsidR="000360E2"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lang w:val="es-ES_tradnl"/>
        </w:rPr>
      </w:pPr>
      <w:r w:rsidRPr="00A22908">
        <w:rPr>
          <w:rFonts w:ascii="Palatino Linotype" w:eastAsia="Calibri" w:hAnsi="Palatino Linotype" w:cs="Arial"/>
          <w:lang w:val="es-ES_tradnl"/>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p>
    <w:p w:rsidR="000360E2" w:rsidRPr="00A22908" w:rsidRDefault="000360E2" w:rsidP="000058D9">
      <w:pPr>
        <w:spacing w:line="360" w:lineRule="auto"/>
        <w:ind w:right="616"/>
        <w:contextualSpacing/>
        <w:jc w:val="both"/>
        <w:rPr>
          <w:rFonts w:ascii="Palatino Linotype" w:eastAsia="Calibri" w:hAnsi="Palatino Linotype" w:cs="Arial"/>
          <w:i/>
          <w:lang w:val="es-ES_tradnl"/>
        </w:rPr>
      </w:pPr>
    </w:p>
    <w:p w:rsidR="000360E2"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lang w:val="es-ES_tradnl"/>
        </w:rPr>
      </w:pPr>
      <w:r w:rsidRPr="00A22908">
        <w:rPr>
          <w:rFonts w:ascii="Palatino Linotype" w:eastAsia="Calibri" w:hAnsi="Palatino Linotype" w:cs="Arial"/>
          <w:lang w:val="es-ES_tradnl"/>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rsidR="000360E2" w:rsidRDefault="000360E2" w:rsidP="000058D9">
      <w:pPr>
        <w:pStyle w:val="Prrafodelista"/>
        <w:spacing w:line="360" w:lineRule="auto"/>
        <w:ind w:left="0"/>
        <w:jc w:val="both"/>
        <w:rPr>
          <w:rFonts w:ascii="Palatino Linotype" w:eastAsia="Calibri" w:hAnsi="Palatino Linotype" w:cs="Arial"/>
          <w:lang w:val="es-ES_tradnl"/>
        </w:rPr>
      </w:pPr>
    </w:p>
    <w:p w:rsidR="000360E2"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lang w:val="es-ES_tradnl"/>
        </w:rPr>
      </w:pPr>
      <w:r w:rsidRPr="00A22908">
        <w:rPr>
          <w:rFonts w:ascii="Palatino Linotype" w:eastAsia="Calibri" w:hAnsi="Palatino Linotype" w:cs="Arial"/>
          <w:lang w:val="es-ES_tradnl"/>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rsidR="000360E2" w:rsidRPr="00A22908" w:rsidRDefault="000360E2" w:rsidP="000058D9">
      <w:pPr>
        <w:pStyle w:val="Prrafodelista"/>
        <w:spacing w:line="360" w:lineRule="auto"/>
        <w:ind w:left="0"/>
        <w:jc w:val="both"/>
        <w:rPr>
          <w:rFonts w:ascii="Palatino Linotype" w:eastAsia="Calibri" w:hAnsi="Palatino Linotype" w:cs="Arial"/>
          <w:lang w:val="es-ES_tradnl"/>
        </w:rPr>
      </w:pPr>
    </w:p>
    <w:p w:rsidR="000360E2" w:rsidRPr="00427B79"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eastAsia="Calibri" w:hAnsi="Palatino Linotype" w:cs="Arial"/>
        </w:rPr>
      </w:pPr>
      <w:r w:rsidRPr="00427B79">
        <w:rPr>
          <w:rFonts w:ascii="Palatino Linotype" w:eastAsia="Calibri" w:hAnsi="Palatino Linotype" w:cs="Arial"/>
        </w:rPr>
        <w:t xml:space="preserve">Es de mencionar que </w:t>
      </w:r>
      <w:r>
        <w:rPr>
          <w:rFonts w:ascii="Palatino Linotype" w:eastAsia="Calibri" w:hAnsi="Palatino Linotype" w:cs="Arial"/>
        </w:rPr>
        <w:t>en caso de que el</w:t>
      </w:r>
      <w:r w:rsidRPr="00427B79">
        <w:rPr>
          <w:rFonts w:ascii="Palatino Linotype" w:eastAsia="Calibri" w:hAnsi="Palatino Linotype" w:cs="Arial"/>
        </w:rPr>
        <w:t xml:space="preserve"> </w:t>
      </w:r>
      <w:r w:rsidRPr="00427B79">
        <w:rPr>
          <w:rFonts w:ascii="Palatino Linotype" w:eastAsia="Calibri" w:hAnsi="Palatino Linotype" w:cs="Arial"/>
          <w:b/>
        </w:rPr>
        <w:t>SUJETO OBLIGADO</w:t>
      </w:r>
      <w:r w:rsidRPr="00427B79">
        <w:rPr>
          <w:rFonts w:ascii="Palatino Linotype" w:eastAsia="Calibri" w:hAnsi="Palatino Linotype" w:cs="Arial"/>
        </w:rPr>
        <w:t xml:space="preserve">, no </w:t>
      </w:r>
      <w:r>
        <w:rPr>
          <w:rFonts w:ascii="Palatino Linotype" w:eastAsia="Calibri" w:hAnsi="Palatino Linotype" w:cs="Arial"/>
        </w:rPr>
        <w:t xml:space="preserve">contara </w:t>
      </w:r>
      <w:r w:rsidRPr="00427B79">
        <w:rPr>
          <w:rFonts w:ascii="Palatino Linotype" w:eastAsia="Calibri" w:hAnsi="Palatino Linotype" w:cs="Arial"/>
        </w:rPr>
        <w:t>con la información solicitada</w:t>
      </w:r>
      <w:r>
        <w:rPr>
          <w:rFonts w:ascii="Palatino Linotype" w:eastAsia="Calibri" w:hAnsi="Palatino Linotype" w:cs="Arial"/>
        </w:rPr>
        <w:t xml:space="preserve"> por no encontrarse dentro de sus </w:t>
      </w:r>
      <w:r w:rsidRPr="0083488C">
        <w:rPr>
          <w:rFonts w:ascii="Palatino Linotype" w:hAnsi="Palatino Linotype"/>
        </w:rPr>
        <w:t>facultades, competencias o funcione</w:t>
      </w:r>
      <w:r>
        <w:rPr>
          <w:rFonts w:ascii="Palatino Linotype" w:eastAsia="Calibri" w:hAnsi="Palatino Linotype" w:cs="Arial"/>
        </w:rPr>
        <w:t>s</w:t>
      </w:r>
      <w:r w:rsidRPr="00427B79">
        <w:rPr>
          <w:rFonts w:ascii="Palatino Linotype" w:eastAsia="Calibri" w:hAnsi="Palatino Linotype" w:cs="Arial"/>
        </w:rPr>
        <w:t xml:space="preserve">, </w:t>
      </w:r>
      <w:r>
        <w:rPr>
          <w:rFonts w:ascii="Palatino Linotype" w:eastAsia="Calibri" w:hAnsi="Palatino Linotype" w:cs="Arial"/>
        </w:rPr>
        <w:t>deberá demostrarlo de manera fundada y motivada</w:t>
      </w:r>
      <w:r w:rsidRPr="00427B79">
        <w:rPr>
          <w:rFonts w:ascii="Palatino Linotype" w:eastAsia="Calibri" w:hAnsi="Palatino Linotype" w:cs="Arial"/>
        </w:rPr>
        <w:t xml:space="preserve">, </w:t>
      </w:r>
      <w:r>
        <w:rPr>
          <w:rFonts w:ascii="Palatino Linotype" w:eastAsia="Calibri" w:hAnsi="Palatino Linotype" w:cs="Arial"/>
        </w:rPr>
        <w:t>de acuerdo a</w:t>
      </w:r>
      <w:r w:rsidRPr="00427B79">
        <w:rPr>
          <w:rFonts w:ascii="Palatino Linotype" w:eastAsia="Calibri" w:hAnsi="Palatino Linotype" w:cs="Arial"/>
        </w:rPr>
        <w:t>l artículo 20 de la Ley de la materia</w:t>
      </w:r>
      <w:r>
        <w:rPr>
          <w:rFonts w:ascii="Palatino Linotype" w:eastAsia="Calibri" w:hAnsi="Palatino Linotype" w:cs="Arial"/>
        </w:rPr>
        <w:t>,</w:t>
      </w:r>
      <w:r w:rsidRPr="00427B79">
        <w:rPr>
          <w:rFonts w:ascii="Palatino Linotype" w:eastAsia="Calibri" w:hAnsi="Palatino Linotype" w:cs="Arial"/>
        </w:rPr>
        <w:t xml:space="preserve"> el cual establece que:</w:t>
      </w:r>
    </w:p>
    <w:p w:rsidR="000360E2" w:rsidRPr="00427B79" w:rsidRDefault="000360E2" w:rsidP="000058D9">
      <w:pPr>
        <w:spacing w:line="360" w:lineRule="auto"/>
        <w:contextualSpacing/>
        <w:jc w:val="both"/>
        <w:rPr>
          <w:b/>
          <w:bCs/>
        </w:rPr>
      </w:pPr>
    </w:p>
    <w:p w:rsidR="000360E2" w:rsidRPr="00427B79" w:rsidRDefault="004A456D" w:rsidP="000058D9">
      <w:pPr>
        <w:spacing w:line="360" w:lineRule="auto"/>
        <w:ind w:left="284" w:right="333"/>
        <w:contextualSpacing/>
        <w:jc w:val="both"/>
        <w:rPr>
          <w:rFonts w:ascii="Palatino Linotype" w:eastAsia="Calibri" w:hAnsi="Palatino Linotype" w:cs="Arial"/>
          <w:i/>
        </w:rPr>
      </w:pPr>
      <w:r>
        <w:rPr>
          <w:rFonts w:ascii="Palatino Linotype" w:hAnsi="Palatino Linotype"/>
          <w:b/>
          <w:bCs/>
          <w:i/>
        </w:rPr>
        <w:t>“</w:t>
      </w:r>
      <w:r w:rsidR="000360E2" w:rsidRPr="00427B79">
        <w:rPr>
          <w:rFonts w:ascii="Palatino Linotype" w:hAnsi="Palatino Linotype"/>
          <w:b/>
          <w:bCs/>
          <w:i/>
        </w:rPr>
        <w:t xml:space="preserve">Artículo 20. </w:t>
      </w:r>
      <w:r w:rsidR="000360E2" w:rsidRPr="00427B79">
        <w:rPr>
          <w:rFonts w:ascii="Palatino Linotype" w:hAnsi="Palatino Linotype"/>
          <w:i/>
        </w:rPr>
        <w:t xml:space="preserve">Ante la negativa del acceso a la información </w:t>
      </w:r>
      <w:r w:rsidR="000360E2" w:rsidRPr="00427B79">
        <w:rPr>
          <w:rFonts w:ascii="Palatino Linotype" w:hAnsi="Palatino Linotype"/>
          <w:b/>
          <w:i/>
        </w:rPr>
        <w:t>o su inexistencia</w:t>
      </w:r>
      <w:r w:rsidR="000360E2" w:rsidRPr="00427B79">
        <w:rPr>
          <w:rFonts w:ascii="Palatino Linotype" w:hAnsi="Palatino Linotype"/>
          <w:i/>
        </w:rPr>
        <w:t xml:space="preserve">, el sujeto obligado deberá demostrar que la información solicitada está prevista en alguna de las excepciones contenidas en esta Ley o, en su caso, </w:t>
      </w:r>
      <w:r w:rsidR="000360E2" w:rsidRPr="00427B79">
        <w:rPr>
          <w:rFonts w:ascii="Palatino Linotype" w:hAnsi="Palatino Linotype"/>
          <w:b/>
          <w:i/>
        </w:rPr>
        <w:t>demostrar que la información no se refiere a alguna de sus facul</w:t>
      </w:r>
      <w:r>
        <w:rPr>
          <w:rFonts w:ascii="Palatino Linotype" w:hAnsi="Palatino Linotype"/>
          <w:b/>
          <w:i/>
        </w:rPr>
        <w:t xml:space="preserve">tades, competencias o funciones”. </w:t>
      </w:r>
    </w:p>
    <w:p w:rsidR="000360E2" w:rsidRPr="00427B79" w:rsidRDefault="000360E2" w:rsidP="000058D9">
      <w:pPr>
        <w:spacing w:line="360" w:lineRule="auto"/>
        <w:contextualSpacing/>
        <w:jc w:val="both"/>
        <w:rPr>
          <w:rFonts w:ascii="Palatino Linotype" w:eastAsia="Calibri" w:hAnsi="Palatino Linotype" w:cs="Arial"/>
        </w:rPr>
      </w:pPr>
    </w:p>
    <w:p w:rsidR="000360E2" w:rsidRPr="0083488C" w:rsidRDefault="000360E2"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eastAsia="Calibri" w:hAnsi="Palatino Linotype" w:cs="Arial"/>
        </w:rPr>
      </w:pPr>
      <w:r w:rsidRPr="0083488C">
        <w:rPr>
          <w:rFonts w:ascii="Palatino Linotype" w:eastAsia="Calibri" w:hAnsi="Palatino Linotype" w:cs="Arial"/>
        </w:rPr>
        <w:t xml:space="preserve">Sirve de sustento el siguiente criterio del </w:t>
      </w:r>
      <w:r w:rsidRPr="0083488C">
        <w:rPr>
          <w:rFonts w:ascii="Palatino Linotype" w:hAnsi="Palatino Linotype"/>
        </w:rPr>
        <w:t>Segundo Tribunal Colegiado del Sexto Circuito.</w:t>
      </w:r>
    </w:p>
    <w:p w:rsidR="000360E2" w:rsidRPr="0083488C" w:rsidRDefault="000360E2" w:rsidP="000058D9">
      <w:pPr>
        <w:spacing w:line="360" w:lineRule="auto"/>
        <w:jc w:val="both"/>
        <w:rPr>
          <w:rFonts w:ascii="Palatino Linotype" w:eastAsia="Calibri" w:hAnsi="Palatino Linotype" w:cs="Arial"/>
        </w:rPr>
      </w:pPr>
    </w:p>
    <w:p w:rsidR="000360E2" w:rsidRPr="0083488C" w:rsidRDefault="000360E2" w:rsidP="000058D9">
      <w:pPr>
        <w:autoSpaceDE w:val="0"/>
        <w:autoSpaceDN w:val="0"/>
        <w:adjustRightInd w:val="0"/>
        <w:spacing w:line="360" w:lineRule="auto"/>
        <w:ind w:left="284" w:right="333"/>
        <w:jc w:val="both"/>
        <w:rPr>
          <w:rFonts w:ascii="Palatino Linotype" w:hAnsi="Palatino Linotype"/>
          <w:i/>
        </w:rPr>
      </w:pPr>
      <w:r w:rsidRPr="0083488C">
        <w:rPr>
          <w:rFonts w:ascii="Palatino Linotype" w:hAnsi="Palatino Linotype"/>
          <w:b/>
          <w:i/>
        </w:rPr>
        <w:t>FUNDAMENTACION Y MOTIVACION DE LOS ACTOS ADMINISTRATIVOS</w:t>
      </w:r>
      <w:r w:rsidRPr="0083488C">
        <w:rPr>
          <w:rFonts w:ascii="Palatino Linotype" w:hAnsi="Palatino Linotype"/>
          <w:i/>
        </w:rPr>
        <w:t xml:space="preserve">. De acuerdo con el artículo 16 constitucional, todo acto de autoridad debe estar suficientemente fundado y motivado, entendiéndose por lo </w:t>
      </w:r>
      <w:r w:rsidRPr="0083488C">
        <w:rPr>
          <w:rFonts w:ascii="Palatino Linotype" w:hAnsi="Palatino Linotype"/>
          <w:i/>
        </w:rPr>
        <w:lastRenderedPageBreak/>
        <w:t xml:space="preserve">primero que ha de expresarse con precisión el precepto legal aplicable al caso y por lo segundo, que también deben señalarse con precisión, las circunstancias especiales, razones particulares o causas inmediatas que se hayan tenido en consideración para la emisión del acto, siendo necesario además, que exista adecuación entre los motivos aducidos y las normas aplicables, es decir, que en el caso concreto se configure la hipótesis normativa. Esto es, que cuando el precepto en comento previene que nadie puede ser molestado en su persona, propiedades o derechos sino en virtud de mandamiento escrito de autoridad competente que funde y motive la causa legal del procedimiento, está exigiendo a todas las autoridades que apeguen sus actos a la ley, expresando de que ley se trata y los preceptos de ella que sirvan de apoyo al mandamiento relativo. En materia administrativa, específicamente, para poder considerar un acto autoritario como correctamente fundado, es necesario que en él se citen: a).- Los cuerpos legales y preceptos que se estén aplicando al caso concreto, es decir, los supuestos normativos en que se encuadra la conducta del gobernado para que esté obligado al pago, que serán señalados con toda exactitud, precisándose los incisos, </w:t>
      </w:r>
      <w:proofErr w:type="spellStart"/>
      <w:r w:rsidRPr="0083488C">
        <w:rPr>
          <w:rFonts w:ascii="Palatino Linotype" w:hAnsi="Palatino Linotype"/>
          <w:i/>
        </w:rPr>
        <w:t>subincisos</w:t>
      </w:r>
      <w:proofErr w:type="spellEnd"/>
      <w:r w:rsidRPr="0083488C">
        <w:rPr>
          <w:rFonts w:ascii="Palatino Linotype" w:hAnsi="Palatino Linotype"/>
          <w:i/>
        </w:rPr>
        <w:t>, fracciones y preceptos aplicables, y b).- Los cuerpos legales, y preceptos que otorgan competencia o facultades a las autoridades para emitir el acto en agravio del gobernado.</w:t>
      </w:r>
    </w:p>
    <w:p w:rsidR="000360E2" w:rsidRPr="00427B79" w:rsidRDefault="000360E2" w:rsidP="000058D9">
      <w:pPr>
        <w:spacing w:line="360" w:lineRule="auto"/>
        <w:contextualSpacing/>
        <w:jc w:val="both"/>
        <w:rPr>
          <w:rFonts w:ascii="Palatino Linotype" w:eastAsia="Calibri" w:hAnsi="Palatino Linotype" w:cs="Arial"/>
        </w:rPr>
      </w:pPr>
    </w:p>
    <w:p w:rsidR="000360E2" w:rsidRPr="004A456D"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hAnsi="Palatino Linotype"/>
        </w:rPr>
      </w:pPr>
      <w:r w:rsidRPr="0083488C">
        <w:rPr>
          <w:rFonts w:ascii="Palatino Linotype" w:eastAsia="Calibri" w:hAnsi="Palatino Linotype" w:cs="Arial"/>
        </w:rPr>
        <w:t>Por lo anteriormente expuesto, se concluye que para los casos en que la información que el</w:t>
      </w:r>
      <w:r>
        <w:rPr>
          <w:rFonts w:ascii="Palatino Linotype" w:eastAsia="Calibri" w:hAnsi="Palatino Linotype" w:cs="Arial"/>
        </w:rPr>
        <w:t xml:space="preserve"> particular solicitó sea inexis</w:t>
      </w:r>
      <w:r w:rsidRPr="0083488C">
        <w:rPr>
          <w:rFonts w:ascii="Palatino Linotype" w:eastAsia="Calibri" w:hAnsi="Palatino Linotype" w:cs="Arial"/>
        </w:rPr>
        <w:t xml:space="preserve">tente de acuerdo con el artículo 20 de la Ley, la autoridad debe informar al particular especificando los elementos </w:t>
      </w:r>
      <w:r>
        <w:rPr>
          <w:rFonts w:ascii="Palatino Linotype" w:eastAsia="Calibri" w:hAnsi="Palatino Linotype" w:cs="Arial"/>
        </w:rPr>
        <w:t xml:space="preserve">que le </w:t>
      </w:r>
      <w:r>
        <w:rPr>
          <w:rFonts w:ascii="Palatino Linotype" w:eastAsia="Calibri" w:hAnsi="Palatino Linotype" w:cs="Arial"/>
        </w:rPr>
        <w:lastRenderedPageBreak/>
        <w:t>permitan tener la seguri</w:t>
      </w:r>
      <w:r w:rsidRPr="0083488C">
        <w:rPr>
          <w:rFonts w:ascii="Palatino Linotype" w:eastAsia="Calibri" w:hAnsi="Palatino Linotype" w:cs="Arial"/>
        </w:rPr>
        <w:t>dad de que los criterios de búsqueda fu</w:t>
      </w:r>
      <w:r>
        <w:rPr>
          <w:rFonts w:ascii="Palatino Linotype" w:eastAsia="Calibri" w:hAnsi="Palatino Linotype" w:cs="Arial"/>
        </w:rPr>
        <w:t>eron exhaustivos, así como seña</w:t>
      </w:r>
      <w:r w:rsidRPr="0083488C">
        <w:rPr>
          <w:rFonts w:ascii="Palatino Linotype" w:eastAsia="Calibri" w:hAnsi="Palatino Linotype" w:cs="Arial"/>
        </w:rPr>
        <w:t>lar detalladamente las circunstancias que generaron la inexistencia de la información, de manera que la autoridad no puede únicamente informar al solicitante sobre la inexistencia de determinada información, sino que debe hacerse todo lo necesario para satisfacer el derecho reclamado por el particular.</w:t>
      </w:r>
    </w:p>
    <w:p w:rsidR="004A456D" w:rsidRDefault="004A456D"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Palatino Linotype" w:hAnsi="Palatino Linotype"/>
        </w:rPr>
      </w:pPr>
    </w:p>
    <w:p w:rsidR="004A456D"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contextualSpacing/>
        <w:jc w:val="both"/>
        <w:rPr>
          <w:rFonts w:ascii="Palatino Linotype" w:hAnsi="Palatino Linotype"/>
        </w:rPr>
      </w:pPr>
      <w:r w:rsidRPr="000360E2">
        <w:rPr>
          <w:rFonts w:ascii="Palatino Linotype" w:eastAsia="Calibri" w:hAnsi="Palatino Linotype" w:cs="Arial"/>
        </w:rPr>
        <w:t>T</w:t>
      </w:r>
      <w:r w:rsidRPr="000360E2">
        <w:rPr>
          <w:rFonts w:ascii="Palatino Linotype" w:eastAsia="Calibri" w:hAnsi="Palatino Linotype"/>
        </w:rPr>
        <w:t>al circunstancia no puede tener como resultado el simple pronunciamiento de la inexistencia de la información solicitada, sino por el contrario, en estos casos las autoridades deberán fundar y motivar las razones por las que no cuentan con l</w:t>
      </w:r>
      <w:r>
        <w:rPr>
          <w:rFonts w:ascii="Palatino Linotype" w:eastAsia="Calibri" w:hAnsi="Palatino Linotype"/>
        </w:rPr>
        <w:t xml:space="preserve">a información ya sea porque no </w:t>
      </w:r>
      <w:r w:rsidRPr="00B73B30">
        <w:rPr>
          <w:rFonts w:ascii="Palatino Linotype" w:eastAsia="Calibri" w:hAnsi="Palatino Linotype"/>
        </w:rPr>
        <w:t>realizaron dichos actos o porque no se encuentran en el ámbito de sus atribuciones.</w:t>
      </w:r>
    </w:p>
    <w:p w:rsidR="004A456D" w:rsidRPr="004A456D" w:rsidRDefault="004A456D"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Palatino Linotype" w:hAnsi="Palatino Linotype"/>
        </w:rPr>
      </w:pPr>
    </w:p>
    <w:p w:rsidR="000360E2" w:rsidRPr="00427B79" w:rsidRDefault="000360E2" w:rsidP="000058D9">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360" w:lineRule="auto"/>
        <w:ind w:left="0" w:firstLine="0"/>
        <w:contextualSpacing/>
        <w:jc w:val="both"/>
        <w:rPr>
          <w:rFonts w:ascii="Palatino Linotype" w:eastAsia="Calibri" w:hAnsi="Palatino Linotype" w:cs="Arial"/>
        </w:rPr>
      </w:pPr>
      <w:r w:rsidRPr="00427B79">
        <w:rPr>
          <w:rFonts w:ascii="Palatino Linotype" w:eastAsia="Calibri" w:hAnsi="Palatino Linotype" w:cs="Arial"/>
        </w:rPr>
        <w:t>Por lo mencionado anteriormente, considero que es de suma importancia que en los casos que el Sujeto Obligado emita un pronunciamiento simple este debe estar debidamente fundado y motivado demostrando las razones o motivos por las que no genera, posee o administra lo solicitado, de tal manera que el particular tenga certeza jurídica de que en todo momento se está actuando con estricto apego a derecho, de lo contrario este instituto como Órgano Garante contribuiría a la afectación al derecho de acceso a la información de los particulares al consentir tales deficiencias por parte de los Sujetos Obligados.</w:t>
      </w:r>
    </w:p>
    <w:p w:rsidR="000360E2" w:rsidRPr="000360E2" w:rsidRDefault="000360E2" w:rsidP="000058D9">
      <w:pPr>
        <w:pBdr>
          <w:top w:val="none" w:sz="0" w:space="0" w:color="auto"/>
          <w:left w:val="none" w:sz="0" w:space="0" w:color="auto"/>
          <w:bottom w:val="none" w:sz="0" w:space="0" w:color="auto"/>
          <w:right w:val="none" w:sz="0" w:space="0" w:color="auto"/>
          <w:between w:val="none" w:sz="0" w:space="0" w:color="auto"/>
          <w:bar w:val="none" w:sz="0" w:color="auto"/>
        </w:pBdr>
        <w:spacing w:line="360" w:lineRule="auto"/>
        <w:contextualSpacing/>
        <w:jc w:val="both"/>
        <w:rPr>
          <w:rFonts w:ascii="Palatino Linotype" w:hAnsi="Palatino Linotype"/>
        </w:rPr>
      </w:pPr>
    </w:p>
    <w:p w:rsidR="00CC0EC5" w:rsidRDefault="00CC0EC5" w:rsidP="000058D9">
      <w:pPr>
        <w:pStyle w:val="Prrafodelist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firstLine="0"/>
        <w:jc w:val="both"/>
        <w:rPr>
          <w:rFonts w:ascii="Palatino Linotype" w:hAnsi="Palatino Linotype" w:cs="Arial"/>
        </w:rPr>
      </w:pPr>
      <w:r>
        <w:rPr>
          <w:rFonts w:ascii="Palatino Linotype" w:hAnsi="Palatino Linotype" w:cs="Arial"/>
        </w:rPr>
        <w:lastRenderedPageBreak/>
        <w:t xml:space="preserve">Una vez expuesto lo anterior, concluyo mi voto </w:t>
      </w:r>
      <w:r w:rsidR="0044164A">
        <w:rPr>
          <w:rFonts w:ascii="Palatino Linotype" w:hAnsi="Palatino Linotype" w:cs="Arial"/>
        </w:rPr>
        <w:t>disidente</w:t>
      </w:r>
      <w:r>
        <w:rPr>
          <w:rFonts w:ascii="Palatino Linotype" w:hAnsi="Palatino Linotype" w:cs="Arial"/>
        </w:rPr>
        <w:t xml:space="preserve"> en </w:t>
      </w:r>
      <w:r w:rsidR="004A456D">
        <w:rPr>
          <w:rFonts w:ascii="Palatino Linotype" w:hAnsi="Palatino Linotype" w:cs="Arial"/>
        </w:rPr>
        <w:t>la resolución materia del mismo.</w:t>
      </w:r>
    </w:p>
    <w:p w:rsidR="000058D9" w:rsidRPr="000058D9" w:rsidRDefault="000058D9" w:rsidP="000058D9">
      <w:pPr>
        <w:spacing w:line="360" w:lineRule="auto"/>
        <w:rPr>
          <w:rFonts w:ascii="Palatino Linotype" w:hAnsi="Palatino Linotype" w:cs="Arial"/>
        </w:rPr>
      </w:pPr>
    </w:p>
    <w:p w:rsidR="000058D9" w:rsidRPr="004A456D" w:rsidRDefault="000058D9" w:rsidP="000058D9">
      <w:pPr>
        <w:pStyle w:val="Prrafodelista"/>
        <w:spacing w:line="360" w:lineRule="auto"/>
        <w:rPr>
          <w:rFonts w:ascii="Palatino Linotype" w:hAnsi="Palatino Linotype" w:cs="Arial"/>
        </w:rPr>
      </w:pPr>
    </w:p>
    <w:p w:rsidR="004A456D" w:rsidRPr="004A456D" w:rsidRDefault="004A456D" w:rsidP="000058D9">
      <w:pPr>
        <w:pStyle w:val="Prrafodelista"/>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0"/>
        <w:jc w:val="both"/>
        <w:rPr>
          <w:rFonts w:ascii="Palatino Linotype" w:hAnsi="Palatino Linotype" w:cs="Arial"/>
        </w:rPr>
      </w:pPr>
    </w:p>
    <w:p w:rsidR="00CC0EC5" w:rsidRDefault="00CC0EC5" w:rsidP="000058D9">
      <w:pPr>
        <w:spacing w:line="360" w:lineRule="auto"/>
        <w:jc w:val="both"/>
        <w:rPr>
          <w:rFonts w:ascii="Palatino Linotype" w:hAnsi="Palatino Linotype" w:cs="Arial"/>
        </w:rPr>
      </w:pPr>
    </w:p>
    <w:p w:rsidR="000058D9" w:rsidRPr="00A97A66" w:rsidRDefault="000058D9" w:rsidP="000058D9">
      <w:pPr>
        <w:spacing w:line="360" w:lineRule="auto"/>
        <w:jc w:val="both"/>
        <w:rPr>
          <w:rFonts w:ascii="Palatino Linotype" w:hAnsi="Palatino Linotype" w:cs="Arial"/>
        </w:rPr>
      </w:pPr>
    </w:p>
    <w:p w:rsidR="004A456D" w:rsidRPr="0094352B" w:rsidRDefault="00CC0EC5" w:rsidP="000058D9">
      <w:pPr>
        <w:pStyle w:val="Sinespaciado"/>
        <w:spacing w:line="360" w:lineRule="auto"/>
        <w:jc w:val="center"/>
        <w:rPr>
          <w:rFonts w:ascii="Palatino Linotype" w:hAnsi="Palatino Linotype"/>
          <w:b/>
          <w:szCs w:val="24"/>
        </w:rPr>
      </w:pPr>
      <w:r w:rsidRPr="0094352B">
        <w:rPr>
          <w:rFonts w:ascii="Palatino Linotype" w:hAnsi="Palatino Linotype"/>
          <w:b/>
          <w:szCs w:val="24"/>
        </w:rPr>
        <w:t>JOSÉ GUADALUPE LUNA HERNÁNDEZ</w:t>
      </w:r>
    </w:p>
    <w:p w:rsidR="00CC0EC5" w:rsidRDefault="00CC0EC5" w:rsidP="000058D9">
      <w:pPr>
        <w:spacing w:line="360" w:lineRule="auto"/>
        <w:jc w:val="center"/>
        <w:rPr>
          <w:rFonts w:ascii="Palatino Linotype" w:hAnsi="Palatino Linotype"/>
          <w:b/>
        </w:rPr>
      </w:pPr>
      <w:r w:rsidRPr="0094352B">
        <w:rPr>
          <w:rFonts w:ascii="Palatino Linotype" w:hAnsi="Palatino Linotype"/>
          <w:b/>
        </w:rPr>
        <w:t>COMISIONADO</w:t>
      </w:r>
    </w:p>
    <w:p w:rsidR="004A456D" w:rsidRDefault="000058D9" w:rsidP="000058D9">
      <w:pPr>
        <w:spacing w:line="360" w:lineRule="auto"/>
        <w:jc w:val="right"/>
        <w:rPr>
          <w:rFonts w:ascii="Palatino Linotype" w:hAnsi="Palatino Linotype"/>
          <w:b/>
        </w:rPr>
      </w:pPr>
      <w:r>
        <w:rPr>
          <w:rFonts w:ascii="Palatino Linotype" w:hAnsi="Palatino Linotype"/>
          <w:b/>
          <w:noProof/>
          <w:bdr w:val="none" w:sz="0" w:space="0" w:color="auto"/>
          <w:lang w:eastAsia="es-MX"/>
        </w:rPr>
        <mc:AlternateContent>
          <mc:Choice Requires="wps">
            <w:drawing>
              <wp:anchor distT="0" distB="0" distL="114300" distR="114300" simplePos="0" relativeHeight="251660288" behindDoc="0" locked="0" layoutInCell="1" allowOverlap="1">
                <wp:simplePos x="0" y="0"/>
                <wp:positionH relativeFrom="column">
                  <wp:posOffset>34291</wp:posOffset>
                </wp:positionH>
                <wp:positionV relativeFrom="paragraph">
                  <wp:posOffset>257809</wp:posOffset>
                </wp:positionV>
                <wp:extent cx="5524500" cy="2543175"/>
                <wp:effectExtent l="19050" t="19050" r="19050" b="28575"/>
                <wp:wrapNone/>
                <wp:docPr id="4" name="Conector recto 4"/>
                <wp:cNvGraphicFramePr/>
                <a:graphic xmlns:a="http://schemas.openxmlformats.org/drawingml/2006/main">
                  <a:graphicData uri="http://schemas.microsoft.com/office/word/2010/wordprocessingShape">
                    <wps:wsp>
                      <wps:cNvCnPr/>
                      <wps:spPr>
                        <a:xfrm>
                          <a:off x="0" y="0"/>
                          <a:ext cx="5524500" cy="25431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72A3D" id="Conector recto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pt,20.3pt" to="437.7pt,22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" strokecolor="#5b9bd5 [3204]" strokeweight="3pt">
                <v:stroke joinstyle="miter"/>
              </v:line>
            </w:pict>
          </mc:Fallback>
        </mc:AlternateContent>
      </w:r>
    </w:p>
    <w:p w:rsidR="00BE1AF8" w:rsidRPr="004A456D" w:rsidRDefault="004A456D" w:rsidP="000058D9">
      <w:pPr>
        <w:spacing w:line="360" w:lineRule="auto"/>
        <w:jc w:val="right"/>
        <w:rPr>
          <w:rFonts w:ascii="Palatino Linotype" w:hAnsi="Palatino Linotype"/>
          <w:b/>
        </w:rPr>
      </w:pPr>
      <w:r>
        <w:rPr>
          <w:rFonts w:ascii="Palatino Linotype" w:hAnsi="Palatino Linotype"/>
          <w:b/>
        </w:rPr>
        <w:t>JGLH/JTC</w:t>
      </w:r>
    </w:p>
    <w:sectPr w:rsidR="00BE1AF8" w:rsidRPr="004A456D" w:rsidSect="007631ED">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438" w:rsidRDefault="002B0438" w:rsidP="00ED7332">
      <w:r>
        <w:separator/>
      </w:r>
    </w:p>
  </w:endnote>
  <w:endnote w:type="continuationSeparator" w:id="0">
    <w:p w:rsidR="002B0438" w:rsidRDefault="002B0438" w:rsidP="00ED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585527"/>
      <w:docPartObj>
        <w:docPartGallery w:val="Page Numbers (Bottom of Page)"/>
        <w:docPartUnique/>
      </w:docPartObj>
    </w:sdtPr>
    <w:sdtEndPr/>
    <w:sdtContent>
      <w:sdt>
        <w:sdtPr>
          <w:id w:val="-1769616900"/>
          <w:docPartObj>
            <w:docPartGallery w:val="Page Numbers (Top of Page)"/>
            <w:docPartUnique/>
          </w:docPartObj>
        </w:sdtPr>
        <w:sdtEndPr/>
        <w:sdtContent>
          <w:p w:rsidR="0052203D" w:rsidRDefault="0052203D">
            <w:pPr>
              <w:pStyle w:val="Piedepgina"/>
              <w:jc w:val="right"/>
            </w:pPr>
            <w:r w:rsidRPr="0052203D">
              <w:rPr>
                <w:rFonts w:ascii="Palatino Linotype" w:hAnsi="Palatino Linotype"/>
                <w:sz w:val="20"/>
                <w:szCs w:val="20"/>
                <w:lang w:val="es-ES"/>
              </w:rPr>
              <w:t xml:space="preserve">Página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PAGE</w:instrText>
            </w:r>
            <w:r w:rsidRPr="0052203D">
              <w:rPr>
                <w:rFonts w:ascii="Palatino Linotype" w:hAnsi="Palatino Linotype"/>
                <w:b/>
                <w:bCs/>
                <w:sz w:val="20"/>
                <w:szCs w:val="20"/>
              </w:rPr>
              <w:fldChar w:fldCharType="separate"/>
            </w:r>
            <w:r w:rsidR="0033436E">
              <w:rPr>
                <w:rFonts w:ascii="Palatino Linotype" w:hAnsi="Palatino Linotype"/>
                <w:b/>
                <w:bCs/>
                <w:noProof/>
                <w:sz w:val="20"/>
                <w:szCs w:val="20"/>
              </w:rPr>
              <w:t>25</w:t>
            </w:r>
            <w:r w:rsidRPr="0052203D">
              <w:rPr>
                <w:rFonts w:ascii="Palatino Linotype" w:hAnsi="Palatino Linotype"/>
                <w:b/>
                <w:bCs/>
                <w:sz w:val="20"/>
                <w:szCs w:val="20"/>
              </w:rPr>
              <w:fldChar w:fldCharType="end"/>
            </w:r>
            <w:r w:rsidRPr="0052203D">
              <w:rPr>
                <w:rFonts w:ascii="Palatino Linotype" w:hAnsi="Palatino Linotype"/>
                <w:sz w:val="20"/>
                <w:szCs w:val="20"/>
                <w:lang w:val="es-ES"/>
              </w:rPr>
              <w:t xml:space="preserve"> de </w:t>
            </w:r>
            <w:r w:rsidRPr="0052203D">
              <w:rPr>
                <w:rFonts w:ascii="Palatino Linotype" w:hAnsi="Palatino Linotype"/>
                <w:b/>
                <w:bCs/>
                <w:sz w:val="20"/>
                <w:szCs w:val="20"/>
              </w:rPr>
              <w:fldChar w:fldCharType="begin"/>
            </w:r>
            <w:r w:rsidRPr="0052203D">
              <w:rPr>
                <w:rFonts w:ascii="Palatino Linotype" w:hAnsi="Palatino Linotype"/>
                <w:b/>
                <w:bCs/>
                <w:sz w:val="20"/>
                <w:szCs w:val="20"/>
              </w:rPr>
              <w:instrText>NUMPAGES</w:instrText>
            </w:r>
            <w:r w:rsidRPr="0052203D">
              <w:rPr>
                <w:rFonts w:ascii="Palatino Linotype" w:hAnsi="Palatino Linotype"/>
                <w:b/>
                <w:bCs/>
                <w:sz w:val="20"/>
                <w:szCs w:val="20"/>
              </w:rPr>
              <w:fldChar w:fldCharType="separate"/>
            </w:r>
            <w:r w:rsidR="0033436E">
              <w:rPr>
                <w:rFonts w:ascii="Palatino Linotype" w:hAnsi="Palatino Linotype"/>
                <w:b/>
                <w:bCs/>
                <w:noProof/>
                <w:sz w:val="20"/>
                <w:szCs w:val="20"/>
              </w:rPr>
              <w:t>25</w:t>
            </w:r>
            <w:r w:rsidRPr="0052203D">
              <w:rPr>
                <w:rFonts w:ascii="Palatino Linotype" w:hAnsi="Palatino Linotype"/>
                <w:b/>
                <w:bCs/>
                <w:sz w:val="20"/>
                <w:szCs w:val="20"/>
              </w:rPr>
              <w:fldChar w:fldCharType="end"/>
            </w:r>
          </w:p>
        </w:sdtContent>
      </w:sdt>
    </w:sdtContent>
  </w:sdt>
  <w:p w:rsidR="00951E8B" w:rsidRDefault="002B043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438" w:rsidRDefault="002B0438" w:rsidP="00ED7332">
      <w:r>
        <w:separator/>
      </w:r>
    </w:p>
  </w:footnote>
  <w:footnote w:type="continuationSeparator" w:id="0">
    <w:p w:rsidR="002B0438" w:rsidRDefault="002B0438" w:rsidP="00ED7332">
      <w:r>
        <w:continuationSeparator/>
      </w:r>
    </w:p>
  </w:footnote>
  <w:footnote w:id="1">
    <w:p w:rsidR="00CC0EC5" w:rsidRDefault="00CC0EC5" w:rsidP="00CC0EC5">
      <w:pPr>
        <w:pStyle w:val="Textonotapie"/>
        <w:jc w:val="both"/>
      </w:pPr>
      <w:r>
        <w:rPr>
          <w:rStyle w:val="Refdenotaalpie"/>
        </w:rPr>
        <w:footnoteRef/>
      </w:r>
      <w:r>
        <w:t xml:space="preserve"> CARBONELL, MIGUEL. “Las obligaciones del Estado en el artículo 1º. de la Constitución mexicana” en CARBONELL, Miguel y SALAZAR, Pedro, </w:t>
      </w:r>
      <w:proofErr w:type="spellStart"/>
      <w:r>
        <w:t>coords</w:t>
      </w:r>
      <w:proofErr w:type="spellEnd"/>
      <w:r>
        <w:t xml:space="preserve">. La reforma constitucional de derechos humanos. 2ª. Edición, México. </w:t>
      </w:r>
      <w:proofErr w:type="spellStart"/>
      <w:r>
        <w:t>Coed</w:t>
      </w:r>
      <w:proofErr w:type="spellEnd"/>
      <w:r>
        <w:t>. Porrúa e Instituto de Investigaciones Jurídicas de la UNAM, 2012. Pág. 68.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B043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4" o:spid="_x0000_s2062" type="#_x0000_t136" style="position:absolute;margin-left:0;margin-top:0;width:538.05pt;height:84.95pt;rotation:315;z-index:-251648000;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B043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5" o:spid="_x0000_s2063" type="#_x0000_t136" style="position:absolute;margin-left:0;margin-top:0;width:538.05pt;height:84.95pt;rotation:315;z-index:-251645952;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p w:rsidR="0050137A" w:rsidRDefault="0050137A">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137A" w:rsidRDefault="002B0438">
    <w:pPr>
      <w:pStyle w:val="Encabezado"/>
    </w:pPr>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68916953" o:spid="_x0000_s2061" type="#_x0000_t136" style="position:absolute;margin-left:0;margin-top:0;width:538.05pt;height:84.95pt;rotation:315;z-index:-251650048;mso-position-horizontal:center;mso-position-horizontal-relative:margin;mso-position-vertical:center;mso-position-vertical-relative:margin" o:allowincell="f" fillcolor="gray [1629]" stroked="f">
          <v:fill opacity=".5"/>
          <v:textpath style="font-family:&quot;Palatino Linotype&quot;;font-size:1pt" string="VOTO DISIDENTE"/>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E30B0"/>
    <w:multiLevelType w:val="hybridMultilevel"/>
    <w:tmpl w:val="B28884F4"/>
    <w:lvl w:ilvl="0" w:tplc="EF8C6FEC">
      <w:start w:val="3"/>
      <w:numFmt w:val="upperRoman"/>
      <w:lvlText w:val="%1."/>
      <w:lvlJc w:val="righ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6575C3F"/>
    <w:multiLevelType w:val="hybridMultilevel"/>
    <w:tmpl w:val="2FCC301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
    <w:nsid w:val="08432410"/>
    <w:multiLevelType w:val="hybridMultilevel"/>
    <w:tmpl w:val="84BEF0E0"/>
    <w:lvl w:ilvl="0" w:tplc="040A0001">
      <w:start w:val="1"/>
      <w:numFmt w:val="bullet"/>
      <w:lvlText w:val=""/>
      <w:lvlJc w:val="left"/>
      <w:pPr>
        <w:ind w:left="1854" w:hanging="360"/>
      </w:pPr>
      <w:rPr>
        <w:rFonts w:ascii="Symbol" w:hAnsi="Symbol" w:hint="default"/>
      </w:rPr>
    </w:lvl>
    <w:lvl w:ilvl="1" w:tplc="040A0003" w:tentative="1">
      <w:start w:val="1"/>
      <w:numFmt w:val="bullet"/>
      <w:lvlText w:val="o"/>
      <w:lvlJc w:val="left"/>
      <w:pPr>
        <w:ind w:left="2574" w:hanging="360"/>
      </w:pPr>
      <w:rPr>
        <w:rFonts w:ascii="Courier New" w:hAnsi="Courier New" w:cs="Courier New" w:hint="default"/>
      </w:rPr>
    </w:lvl>
    <w:lvl w:ilvl="2" w:tplc="040A0005" w:tentative="1">
      <w:start w:val="1"/>
      <w:numFmt w:val="bullet"/>
      <w:lvlText w:val=""/>
      <w:lvlJc w:val="left"/>
      <w:pPr>
        <w:ind w:left="3294" w:hanging="360"/>
      </w:pPr>
      <w:rPr>
        <w:rFonts w:ascii="Wingdings" w:hAnsi="Wingdings" w:hint="default"/>
      </w:rPr>
    </w:lvl>
    <w:lvl w:ilvl="3" w:tplc="040A0001" w:tentative="1">
      <w:start w:val="1"/>
      <w:numFmt w:val="bullet"/>
      <w:lvlText w:val=""/>
      <w:lvlJc w:val="left"/>
      <w:pPr>
        <w:ind w:left="4014" w:hanging="360"/>
      </w:pPr>
      <w:rPr>
        <w:rFonts w:ascii="Symbol" w:hAnsi="Symbol" w:hint="default"/>
      </w:rPr>
    </w:lvl>
    <w:lvl w:ilvl="4" w:tplc="040A0003" w:tentative="1">
      <w:start w:val="1"/>
      <w:numFmt w:val="bullet"/>
      <w:lvlText w:val="o"/>
      <w:lvlJc w:val="left"/>
      <w:pPr>
        <w:ind w:left="4734" w:hanging="360"/>
      </w:pPr>
      <w:rPr>
        <w:rFonts w:ascii="Courier New" w:hAnsi="Courier New" w:cs="Courier New" w:hint="default"/>
      </w:rPr>
    </w:lvl>
    <w:lvl w:ilvl="5" w:tplc="040A0005" w:tentative="1">
      <w:start w:val="1"/>
      <w:numFmt w:val="bullet"/>
      <w:lvlText w:val=""/>
      <w:lvlJc w:val="left"/>
      <w:pPr>
        <w:ind w:left="5454" w:hanging="360"/>
      </w:pPr>
      <w:rPr>
        <w:rFonts w:ascii="Wingdings" w:hAnsi="Wingdings" w:hint="default"/>
      </w:rPr>
    </w:lvl>
    <w:lvl w:ilvl="6" w:tplc="040A0001" w:tentative="1">
      <w:start w:val="1"/>
      <w:numFmt w:val="bullet"/>
      <w:lvlText w:val=""/>
      <w:lvlJc w:val="left"/>
      <w:pPr>
        <w:ind w:left="6174" w:hanging="360"/>
      </w:pPr>
      <w:rPr>
        <w:rFonts w:ascii="Symbol" w:hAnsi="Symbol" w:hint="default"/>
      </w:rPr>
    </w:lvl>
    <w:lvl w:ilvl="7" w:tplc="040A0003" w:tentative="1">
      <w:start w:val="1"/>
      <w:numFmt w:val="bullet"/>
      <w:lvlText w:val="o"/>
      <w:lvlJc w:val="left"/>
      <w:pPr>
        <w:ind w:left="6894" w:hanging="360"/>
      </w:pPr>
      <w:rPr>
        <w:rFonts w:ascii="Courier New" w:hAnsi="Courier New" w:cs="Courier New" w:hint="default"/>
      </w:rPr>
    </w:lvl>
    <w:lvl w:ilvl="8" w:tplc="040A0005" w:tentative="1">
      <w:start w:val="1"/>
      <w:numFmt w:val="bullet"/>
      <w:lvlText w:val=""/>
      <w:lvlJc w:val="left"/>
      <w:pPr>
        <w:ind w:left="7614" w:hanging="360"/>
      </w:pPr>
      <w:rPr>
        <w:rFonts w:ascii="Wingdings" w:hAnsi="Wingdings" w:hint="default"/>
      </w:rPr>
    </w:lvl>
  </w:abstractNum>
  <w:abstractNum w:abstractNumId="3">
    <w:nsid w:val="094B4102"/>
    <w:multiLevelType w:val="multilevel"/>
    <w:tmpl w:val="621421A0"/>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4">
    <w:nsid w:val="0B3A5237"/>
    <w:multiLevelType w:val="hybridMultilevel"/>
    <w:tmpl w:val="D86C4466"/>
    <w:lvl w:ilvl="0" w:tplc="4C6421C4">
      <w:start w:val="3"/>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13F30CE2"/>
    <w:multiLevelType w:val="hybridMultilevel"/>
    <w:tmpl w:val="53FA03FC"/>
    <w:lvl w:ilvl="0" w:tplc="FCD87BB2">
      <w:start w:val="1"/>
      <w:numFmt w:val="decimal"/>
      <w:lvlText w:val="%1."/>
      <w:lvlJc w:val="left"/>
      <w:pPr>
        <w:ind w:left="720" w:hanging="360"/>
      </w:pPr>
      <w:rPr>
        <w:rFonts w:ascii="Palatino Linotype" w:hAnsi="Palatino Linotype" w:hint="default"/>
        <w:spacing w:val="82"/>
        <w:sz w:val="22"/>
        <w14:ligatures w14:val="none"/>
        <w14:numSpacing w14:val="default"/>
        <w14:stylisticSet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1F73D3E"/>
    <w:multiLevelType w:val="hybridMultilevel"/>
    <w:tmpl w:val="0E809184"/>
    <w:lvl w:ilvl="0" w:tplc="029A29C6">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8A02A65"/>
    <w:multiLevelType w:val="hybridMultilevel"/>
    <w:tmpl w:val="28661FB8"/>
    <w:lvl w:ilvl="0" w:tplc="143EF6D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96E097D"/>
    <w:multiLevelType w:val="hybridMultilevel"/>
    <w:tmpl w:val="E8102B90"/>
    <w:lvl w:ilvl="0" w:tplc="B5E8FB9A">
      <w:start w:val="1"/>
      <w:numFmt w:val="lowerLetter"/>
      <w:lvlText w:val="%1)"/>
      <w:lvlJc w:val="left"/>
      <w:pPr>
        <w:ind w:left="927" w:hanging="360"/>
      </w:pPr>
      <w:rPr>
        <w:rFonts w:cs="Times New Roman"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A750AC4"/>
    <w:multiLevelType w:val="hybridMultilevel"/>
    <w:tmpl w:val="9C84E8EC"/>
    <w:lvl w:ilvl="0" w:tplc="B900E44A">
      <w:start w:val="1"/>
      <w:numFmt w:val="upperRoman"/>
      <w:lvlText w:val="%1."/>
      <w:lvlJc w:val="left"/>
      <w:pPr>
        <w:ind w:left="1146" w:hanging="72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0">
    <w:nsid w:val="2B8E2722"/>
    <w:multiLevelType w:val="hybridMultilevel"/>
    <w:tmpl w:val="6C2EA276"/>
    <w:lvl w:ilvl="0" w:tplc="488A51EC">
      <w:start w:val="1"/>
      <w:numFmt w:val="decimal"/>
      <w:lvlText w:val="%1."/>
      <w:lvlJc w:val="left"/>
      <w:pPr>
        <w:ind w:left="720" w:hanging="360"/>
      </w:pPr>
      <w:rPr>
        <w:rFonts w:eastAsia="Times New Roman" w:hint="default"/>
        <w:b/>
      </w:rPr>
    </w:lvl>
    <w:lvl w:ilvl="1" w:tplc="7D245A10">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0823917"/>
    <w:multiLevelType w:val="hybridMultilevel"/>
    <w:tmpl w:val="2988C4F0"/>
    <w:lvl w:ilvl="0" w:tplc="0706D6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2E0058C"/>
    <w:multiLevelType w:val="hybridMultilevel"/>
    <w:tmpl w:val="1D826B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4317490"/>
    <w:multiLevelType w:val="hybridMultilevel"/>
    <w:tmpl w:val="D786D400"/>
    <w:lvl w:ilvl="0" w:tplc="5EFE98EE">
      <w:start w:val="1"/>
      <w:numFmt w:val="decimal"/>
      <w:lvlText w:val="%1."/>
      <w:lvlJc w:val="left"/>
      <w:pPr>
        <w:ind w:left="3763" w:hanging="360"/>
      </w:pPr>
      <w:rPr>
        <w:rFonts w:hint="default"/>
        <w:b/>
        <w:i w:val="0"/>
        <w:sz w:val="24"/>
      </w:rPr>
    </w:lvl>
    <w:lvl w:ilvl="1" w:tplc="9130415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3D5F1FEC"/>
    <w:multiLevelType w:val="multilevel"/>
    <w:tmpl w:val="D1BA65F6"/>
    <w:lvl w:ilvl="0">
      <w:start w:val="1"/>
      <w:numFmt w:val="decimal"/>
      <w:lvlText w:val="%1."/>
      <w:lvlJc w:val="left"/>
      <w:rPr>
        <w:rFonts w:ascii="Arial" w:eastAsia="Arial" w:hAnsi="Arial" w:cs="Arial"/>
        <w:position w:val="0"/>
      </w:rPr>
    </w:lvl>
    <w:lvl w:ilvl="1">
      <w:start w:val="1"/>
      <w:numFmt w:val="decimal"/>
      <w:lvlText w:val="%2."/>
      <w:lvlJc w:val="left"/>
      <w:rPr>
        <w:rFonts w:ascii="Palatino Linotype" w:eastAsia="Palatino Linotype" w:hAnsi="Palatino Linotype" w:cs="Palatino Linotype"/>
        <w:position w:val="0"/>
      </w:rPr>
    </w:lvl>
    <w:lvl w:ilvl="2">
      <w:start w:val="1"/>
      <w:numFmt w:val="decimal"/>
      <w:lvlText w:val="%3."/>
      <w:lvlJc w:val="left"/>
      <w:rPr>
        <w:rFonts w:ascii="Palatino Linotype" w:eastAsia="Palatino Linotype" w:hAnsi="Palatino Linotype" w:cs="Palatino Linotype"/>
        <w:position w:val="0"/>
      </w:rPr>
    </w:lvl>
    <w:lvl w:ilvl="3">
      <w:start w:val="1"/>
      <w:numFmt w:val="decimal"/>
      <w:lvlText w:val="%4."/>
      <w:lvlJc w:val="left"/>
      <w:rPr>
        <w:rFonts w:ascii="Palatino Linotype" w:eastAsia="Palatino Linotype" w:hAnsi="Palatino Linotype" w:cs="Palatino Linotype"/>
        <w:position w:val="0"/>
      </w:rPr>
    </w:lvl>
    <w:lvl w:ilvl="4">
      <w:start w:val="1"/>
      <w:numFmt w:val="decimal"/>
      <w:lvlText w:val="%5."/>
      <w:lvlJc w:val="left"/>
      <w:rPr>
        <w:rFonts w:ascii="Palatino Linotype" w:eastAsia="Palatino Linotype" w:hAnsi="Palatino Linotype" w:cs="Palatino Linotype"/>
        <w:position w:val="0"/>
      </w:rPr>
    </w:lvl>
    <w:lvl w:ilvl="5">
      <w:start w:val="1"/>
      <w:numFmt w:val="decimal"/>
      <w:lvlText w:val="%6."/>
      <w:lvlJc w:val="left"/>
      <w:rPr>
        <w:rFonts w:ascii="Palatino Linotype" w:eastAsia="Palatino Linotype" w:hAnsi="Palatino Linotype" w:cs="Palatino Linotype"/>
        <w:position w:val="0"/>
      </w:rPr>
    </w:lvl>
    <w:lvl w:ilvl="6">
      <w:start w:val="1"/>
      <w:numFmt w:val="decimal"/>
      <w:lvlText w:val="%7."/>
      <w:lvlJc w:val="left"/>
      <w:rPr>
        <w:rFonts w:ascii="Palatino Linotype" w:eastAsia="Palatino Linotype" w:hAnsi="Palatino Linotype" w:cs="Palatino Linotype"/>
        <w:position w:val="0"/>
      </w:rPr>
    </w:lvl>
    <w:lvl w:ilvl="7">
      <w:start w:val="1"/>
      <w:numFmt w:val="decimal"/>
      <w:lvlText w:val="%8."/>
      <w:lvlJc w:val="left"/>
      <w:rPr>
        <w:rFonts w:ascii="Palatino Linotype" w:eastAsia="Palatino Linotype" w:hAnsi="Palatino Linotype" w:cs="Palatino Linotype"/>
        <w:position w:val="0"/>
      </w:rPr>
    </w:lvl>
    <w:lvl w:ilvl="8">
      <w:start w:val="1"/>
      <w:numFmt w:val="decimal"/>
      <w:lvlText w:val="%9."/>
      <w:lvlJc w:val="left"/>
      <w:rPr>
        <w:rFonts w:ascii="Palatino Linotype" w:eastAsia="Palatino Linotype" w:hAnsi="Palatino Linotype" w:cs="Palatino Linotype"/>
        <w:position w:val="0"/>
      </w:rPr>
    </w:lvl>
  </w:abstractNum>
  <w:abstractNum w:abstractNumId="16">
    <w:nsid w:val="3DC31D68"/>
    <w:multiLevelType w:val="hybridMultilevel"/>
    <w:tmpl w:val="A8C4D29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nsid w:val="417C6B62"/>
    <w:multiLevelType w:val="hybridMultilevel"/>
    <w:tmpl w:val="F7D2C972"/>
    <w:lvl w:ilvl="0" w:tplc="AF78355C">
      <w:start w:val="6"/>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41EE7A70"/>
    <w:multiLevelType w:val="hybridMultilevel"/>
    <w:tmpl w:val="C94E487C"/>
    <w:lvl w:ilvl="0" w:tplc="281E5080">
      <w:start w:val="1"/>
      <w:numFmt w:val="decimal"/>
      <w:lvlText w:val="%1."/>
      <w:lvlJc w:val="left"/>
      <w:pPr>
        <w:ind w:left="426" w:hanging="360"/>
      </w:p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19">
    <w:nsid w:val="47AC5D89"/>
    <w:multiLevelType w:val="hybridMultilevel"/>
    <w:tmpl w:val="9A5E7460"/>
    <w:lvl w:ilvl="0" w:tplc="AE1AC5A4">
      <w:start w:val="1"/>
      <w:numFmt w:val="decimal"/>
      <w:lvlText w:val="%1."/>
      <w:lvlJc w:val="left"/>
      <w:pPr>
        <w:ind w:left="426" w:hanging="360"/>
      </w:pPr>
      <w:rPr>
        <w:b/>
      </w:rPr>
    </w:lvl>
    <w:lvl w:ilvl="1" w:tplc="080A0019" w:tentative="1">
      <w:start w:val="1"/>
      <w:numFmt w:val="lowerLetter"/>
      <w:lvlText w:val="%2."/>
      <w:lvlJc w:val="left"/>
      <w:pPr>
        <w:ind w:left="1146" w:hanging="360"/>
      </w:pPr>
    </w:lvl>
    <w:lvl w:ilvl="2" w:tplc="080A001B" w:tentative="1">
      <w:start w:val="1"/>
      <w:numFmt w:val="lowerRoman"/>
      <w:lvlText w:val="%3."/>
      <w:lvlJc w:val="right"/>
      <w:pPr>
        <w:ind w:left="1866" w:hanging="180"/>
      </w:pPr>
    </w:lvl>
    <w:lvl w:ilvl="3" w:tplc="080A000F" w:tentative="1">
      <w:start w:val="1"/>
      <w:numFmt w:val="decimal"/>
      <w:lvlText w:val="%4."/>
      <w:lvlJc w:val="left"/>
      <w:pPr>
        <w:ind w:left="2586" w:hanging="360"/>
      </w:pPr>
    </w:lvl>
    <w:lvl w:ilvl="4" w:tplc="080A0019" w:tentative="1">
      <w:start w:val="1"/>
      <w:numFmt w:val="lowerLetter"/>
      <w:lvlText w:val="%5."/>
      <w:lvlJc w:val="left"/>
      <w:pPr>
        <w:ind w:left="3306" w:hanging="360"/>
      </w:pPr>
    </w:lvl>
    <w:lvl w:ilvl="5" w:tplc="080A001B" w:tentative="1">
      <w:start w:val="1"/>
      <w:numFmt w:val="lowerRoman"/>
      <w:lvlText w:val="%6."/>
      <w:lvlJc w:val="right"/>
      <w:pPr>
        <w:ind w:left="4026" w:hanging="180"/>
      </w:pPr>
    </w:lvl>
    <w:lvl w:ilvl="6" w:tplc="080A000F" w:tentative="1">
      <w:start w:val="1"/>
      <w:numFmt w:val="decimal"/>
      <w:lvlText w:val="%7."/>
      <w:lvlJc w:val="left"/>
      <w:pPr>
        <w:ind w:left="4746" w:hanging="360"/>
      </w:pPr>
    </w:lvl>
    <w:lvl w:ilvl="7" w:tplc="080A0019" w:tentative="1">
      <w:start w:val="1"/>
      <w:numFmt w:val="lowerLetter"/>
      <w:lvlText w:val="%8."/>
      <w:lvlJc w:val="left"/>
      <w:pPr>
        <w:ind w:left="5466" w:hanging="360"/>
      </w:pPr>
    </w:lvl>
    <w:lvl w:ilvl="8" w:tplc="080A001B" w:tentative="1">
      <w:start w:val="1"/>
      <w:numFmt w:val="lowerRoman"/>
      <w:lvlText w:val="%9."/>
      <w:lvlJc w:val="right"/>
      <w:pPr>
        <w:ind w:left="6186" w:hanging="180"/>
      </w:pPr>
    </w:lvl>
  </w:abstractNum>
  <w:abstractNum w:abstractNumId="20">
    <w:nsid w:val="4A0C699D"/>
    <w:multiLevelType w:val="hybridMultilevel"/>
    <w:tmpl w:val="079AFD6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nsid w:val="4BBA5593"/>
    <w:multiLevelType w:val="hybridMultilevel"/>
    <w:tmpl w:val="DC986624"/>
    <w:lvl w:ilvl="0" w:tplc="1E98FA6E">
      <w:start w:val="1"/>
      <w:numFmt w:val="upperRoman"/>
      <w:lvlText w:val="%1."/>
      <w:lvlJc w:val="left"/>
      <w:pPr>
        <w:ind w:left="862" w:hanging="720"/>
      </w:pPr>
      <w:rPr>
        <w:rFonts w:hint="default"/>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2">
    <w:nsid w:val="4E641F14"/>
    <w:multiLevelType w:val="hybridMultilevel"/>
    <w:tmpl w:val="03285C4C"/>
    <w:lvl w:ilvl="0" w:tplc="39001DD0">
      <w:start w:val="2"/>
      <w:numFmt w:val="upperRoman"/>
      <w:pStyle w:val="Ttulo1"/>
      <w:lvlText w:val="%1."/>
      <w:lvlJc w:val="righ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4EAB3B6E"/>
    <w:multiLevelType w:val="hybridMultilevel"/>
    <w:tmpl w:val="FE5C98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ED50C73"/>
    <w:multiLevelType w:val="hybridMultilevel"/>
    <w:tmpl w:val="6EE2600E"/>
    <w:lvl w:ilvl="0" w:tplc="62B055C4">
      <w:start w:val="1"/>
      <w:numFmt w:val="upperRoman"/>
      <w:lvlText w:val="%1."/>
      <w:lvlJc w:val="left"/>
      <w:pPr>
        <w:ind w:left="1080" w:hanging="720"/>
      </w:pPr>
      <w:rPr>
        <w:rFonts w:hint="default"/>
        <w:b/>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555C650D"/>
    <w:multiLevelType w:val="hybridMultilevel"/>
    <w:tmpl w:val="3C5AA00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577202FA"/>
    <w:multiLevelType w:val="hybridMultilevel"/>
    <w:tmpl w:val="7A3E2C98"/>
    <w:lvl w:ilvl="0" w:tplc="2F484048">
      <w:start w:val="1"/>
      <w:numFmt w:val="decimal"/>
      <w:lvlText w:val="%1."/>
      <w:lvlJc w:val="left"/>
      <w:pPr>
        <w:ind w:left="36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7812ECC"/>
    <w:multiLevelType w:val="hybridMultilevel"/>
    <w:tmpl w:val="169266CE"/>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57910C6E"/>
    <w:multiLevelType w:val="hybridMultilevel"/>
    <w:tmpl w:val="E14A8AFA"/>
    <w:lvl w:ilvl="0" w:tplc="9808DF02">
      <w:start w:val="1"/>
      <w:numFmt w:val="upperRoman"/>
      <w:lvlText w:val="%1."/>
      <w:lvlJc w:val="left"/>
      <w:pPr>
        <w:ind w:left="7950" w:hanging="720"/>
      </w:pPr>
      <w:rPr>
        <w:rFonts w:hint="default"/>
      </w:rPr>
    </w:lvl>
    <w:lvl w:ilvl="1" w:tplc="080A0019" w:tentative="1">
      <w:start w:val="1"/>
      <w:numFmt w:val="lowerLetter"/>
      <w:lvlText w:val="%2."/>
      <w:lvlJc w:val="left"/>
      <w:pPr>
        <w:ind w:left="8310" w:hanging="360"/>
      </w:pPr>
    </w:lvl>
    <w:lvl w:ilvl="2" w:tplc="080A001B" w:tentative="1">
      <w:start w:val="1"/>
      <w:numFmt w:val="lowerRoman"/>
      <w:lvlText w:val="%3."/>
      <w:lvlJc w:val="right"/>
      <w:pPr>
        <w:ind w:left="9030" w:hanging="180"/>
      </w:pPr>
    </w:lvl>
    <w:lvl w:ilvl="3" w:tplc="080A000F" w:tentative="1">
      <w:start w:val="1"/>
      <w:numFmt w:val="decimal"/>
      <w:lvlText w:val="%4."/>
      <w:lvlJc w:val="left"/>
      <w:pPr>
        <w:ind w:left="9750" w:hanging="360"/>
      </w:pPr>
    </w:lvl>
    <w:lvl w:ilvl="4" w:tplc="080A0019" w:tentative="1">
      <w:start w:val="1"/>
      <w:numFmt w:val="lowerLetter"/>
      <w:lvlText w:val="%5."/>
      <w:lvlJc w:val="left"/>
      <w:pPr>
        <w:ind w:left="10470" w:hanging="360"/>
      </w:pPr>
    </w:lvl>
    <w:lvl w:ilvl="5" w:tplc="080A001B" w:tentative="1">
      <w:start w:val="1"/>
      <w:numFmt w:val="lowerRoman"/>
      <w:lvlText w:val="%6."/>
      <w:lvlJc w:val="right"/>
      <w:pPr>
        <w:ind w:left="11190" w:hanging="180"/>
      </w:pPr>
    </w:lvl>
    <w:lvl w:ilvl="6" w:tplc="080A000F" w:tentative="1">
      <w:start w:val="1"/>
      <w:numFmt w:val="decimal"/>
      <w:lvlText w:val="%7."/>
      <w:lvlJc w:val="left"/>
      <w:pPr>
        <w:ind w:left="11910" w:hanging="360"/>
      </w:pPr>
    </w:lvl>
    <w:lvl w:ilvl="7" w:tplc="080A0019" w:tentative="1">
      <w:start w:val="1"/>
      <w:numFmt w:val="lowerLetter"/>
      <w:lvlText w:val="%8."/>
      <w:lvlJc w:val="left"/>
      <w:pPr>
        <w:ind w:left="12630" w:hanging="360"/>
      </w:pPr>
    </w:lvl>
    <w:lvl w:ilvl="8" w:tplc="080A001B" w:tentative="1">
      <w:start w:val="1"/>
      <w:numFmt w:val="lowerRoman"/>
      <w:lvlText w:val="%9."/>
      <w:lvlJc w:val="right"/>
      <w:pPr>
        <w:ind w:left="13350" w:hanging="180"/>
      </w:pPr>
    </w:lvl>
  </w:abstractNum>
  <w:abstractNum w:abstractNumId="29">
    <w:nsid w:val="589E7780"/>
    <w:multiLevelType w:val="hybridMultilevel"/>
    <w:tmpl w:val="4D5E75BE"/>
    <w:lvl w:ilvl="0" w:tplc="7A848F34">
      <w:start w:val="3"/>
      <w:numFmt w:val="upperRoman"/>
      <w:lvlText w:val="%1."/>
      <w:lvlJc w:val="left"/>
      <w:pPr>
        <w:ind w:left="1440" w:hanging="72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0">
    <w:nsid w:val="59554BAD"/>
    <w:multiLevelType w:val="hybridMultilevel"/>
    <w:tmpl w:val="1E82D688"/>
    <w:lvl w:ilvl="0" w:tplc="D8886E80">
      <w:start w:val="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0766225"/>
    <w:multiLevelType w:val="hybridMultilevel"/>
    <w:tmpl w:val="FB208812"/>
    <w:lvl w:ilvl="0" w:tplc="9D126658">
      <w:start w:val="5"/>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60EC75FE"/>
    <w:multiLevelType w:val="hybridMultilevel"/>
    <w:tmpl w:val="ABE8773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3">
    <w:nsid w:val="63E2165A"/>
    <w:multiLevelType w:val="hybridMultilevel"/>
    <w:tmpl w:val="4F587310"/>
    <w:lvl w:ilvl="0" w:tplc="F32430A6">
      <w:start w:val="4"/>
      <w:numFmt w:val="decimal"/>
      <w:lvlText w:val="%1."/>
      <w:lvlJc w:val="left"/>
      <w:pPr>
        <w:ind w:left="720" w:hanging="360"/>
      </w:pPr>
      <w:rPr>
        <w:rFonts w:eastAsia="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57506DA"/>
    <w:multiLevelType w:val="hybridMultilevel"/>
    <w:tmpl w:val="10ECA042"/>
    <w:lvl w:ilvl="0" w:tplc="281E5080">
      <w:start w:val="1"/>
      <w:numFmt w:val="decimal"/>
      <w:lvlText w:val="%1."/>
      <w:lvlJc w:val="left"/>
      <w:pPr>
        <w:ind w:left="426"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6">
    <w:nsid w:val="6BAA37D5"/>
    <w:multiLevelType w:val="hybridMultilevel"/>
    <w:tmpl w:val="42422D6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start w:val="1"/>
      <w:numFmt w:val="bullet"/>
      <w:lvlText w:val=""/>
      <w:lvlJc w:val="left"/>
      <w:pPr>
        <w:ind w:left="1800" w:hanging="360"/>
      </w:pPr>
      <w:rPr>
        <w:rFonts w:ascii="Wingdings" w:hAnsi="Wingdings" w:hint="default"/>
      </w:rPr>
    </w:lvl>
    <w:lvl w:ilvl="3" w:tplc="080A0001">
      <w:start w:val="1"/>
      <w:numFmt w:val="bullet"/>
      <w:lvlText w:val=""/>
      <w:lvlJc w:val="left"/>
      <w:pPr>
        <w:ind w:left="2520" w:hanging="360"/>
      </w:pPr>
      <w:rPr>
        <w:rFonts w:ascii="Symbol" w:hAnsi="Symbol" w:hint="default"/>
      </w:rPr>
    </w:lvl>
    <w:lvl w:ilvl="4" w:tplc="080A0003">
      <w:start w:val="1"/>
      <w:numFmt w:val="bullet"/>
      <w:lvlText w:val="o"/>
      <w:lvlJc w:val="left"/>
      <w:pPr>
        <w:ind w:left="3240" w:hanging="360"/>
      </w:pPr>
      <w:rPr>
        <w:rFonts w:ascii="Courier New" w:hAnsi="Courier New" w:cs="Courier New" w:hint="default"/>
      </w:rPr>
    </w:lvl>
    <w:lvl w:ilvl="5" w:tplc="080A0005">
      <w:start w:val="1"/>
      <w:numFmt w:val="bullet"/>
      <w:lvlText w:val=""/>
      <w:lvlJc w:val="left"/>
      <w:pPr>
        <w:ind w:left="3960" w:hanging="360"/>
      </w:pPr>
      <w:rPr>
        <w:rFonts w:ascii="Wingdings" w:hAnsi="Wingdings" w:hint="default"/>
      </w:rPr>
    </w:lvl>
    <w:lvl w:ilvl="6" w:tplc="080A0001">
      <w:start w:val="1"/>
      <w:numFmt w:val="bullet"/>
      <w:lvlText w:val=""/>
      <w:lvlJc w:val="left"/>
      <w:pPr>
        <w:ind w:left="4680" w:hanging="360"/>
      </w:pPr>
      <w:rPr>
        <w:rFonts w:ascii="Symbol" w:hAnsi="Symbol" w:hint="default"/>
      </w:rPr>
    </w:lvl>
    <w:lvl w:ilvl="7" w:tplc="080A0003">
      <w:start w:val="1"/>
      <w:numFmt w:val="bullet"/>
      <w:lvlText w:val="o"/>
      <w:lvlJc w:val="left"/>
      <w:pPr>
        <w:ind w:left="5400" w:hanging="360"/>
      </w:pPr>
      <w:rPr>
        <w:rFonts w:ascii="Courier New" w:hAnsi="Courier New" w:cs="Courier New" w:hint="default"/>
      </w:rPr>
    </w:lvl>
    <w:lvl w:ilvl="8" w:tplc="080A0005">
      <w:start w:val="1"/>
      <w:numFmt w:val="bullet"/>
      <w:lvlText w:val=""/>
      <w:lvlJc w:val="left"/>
      <w:pPr>
        <w:ind w:left="6120" w:hanging="360"/>
      </w:pPr>
      <w:rPr>
        <w:rFonts w:ascii="Wingdings" w:hAnsi="Wingdings" w:hint="default"/>
      </w:rPr>
    </w:lvl>
  </w:abstractNum>
  <w:abstractNum w:abstractNumId="37">
    <w:nsid w:val="6D941E60"/>
    <w:multiLevelType w:val="hybridMultilevel"/>
    <w:tmpl w:val="9BE29844"/>
    <w:lvl w:ilvl="0" w:tplc="9DB843FC">
      <w:start w:val="1"/>
      <w:numFmt w:val="upperRoman"/>
      <w:lvlText w:val="%1."/>
      <w:lvlJc w:val="left"/>
      <w:pPr>
        <w:ind w:left="1080" w:hanging="72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nsid w:val="6FA426DC"/>
    <w:multiLevelType w:val="hybridMultilevel"/>
    <w:tmpl w:val="332EF350"/>
    <w:lvl w:ilvl="0" w:tplc="6D5CBE1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nsid w:val="6FCC46B3"/>
    <w:multiLevelType w:val="hybridMultilevel"/>
    <w:tmpl w:val="138A1A8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nsid w:val="760B4CCB"/>
    <w:multiLevelType w:val="hybridMultilevel"/>
    <w:tmpl w:val="E188BE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nsid w:val="770136A0"/>
    <w:multiLevelType w:val="hybridMultilevel"/>
    <w:tmpl w:val="705CDDC4"/>
    <w:lvl w:ilvl="0" w:tplc="47B0A78C">
      <w:start w:val="1"/>
      <w:numFmt w:val="decimal"/>
      <w:lvlText w:val="%1."/>
      <w:lvlJc w:val="left"/>
      <w:pPr>
        <w:ind w:left="4330" w:hanging="360"/>
      </w:pPr>
      <w:rPr>
        <w:rFonts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nsid w:val="78F47563"/>
    <w:multiLevelType w:val="hybridMultilevel"/>
    <w:tmpl w:val="73AE71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nsid w:val="79FD3635"/>
    <w:multiLevelType w:val="hybridMultilevel"/>
    <w:tmpl w:val="A22E4070"/>
    <w:lvl w:ilvl="0" w:tplc="7CA8C278">
      <w:start w:val="6"/>
      <w:numFmt w:val="decimal"/>
      <w:lvlText w:val="%1."/>
      <w:lvlJc w:val="left"/>
      <w:pPr>
        <w:ind w:left="426"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A9E4D9E"/>
    <w:multiLevelType w:val="hybridMultilevel"/>
    <w:tmpl w:val="FAF2E170"/>
    <w:lvl w:ilvl="0" w:tplc="47D63F0E">
      <w:start w:val="1"/>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6"/>
  </w:num>
  <w:num w:numId="2">
    <w:abstractNumId w:val="9"/>
  </w:num>
  <w:num w:numId="3">
    <w:abstractNumId w:val="40"/>
  </w:num>
  <w:num w:numId="4">
    <w:abstractNumId w:val="6"/>
  </w:num>
  <w:num w:numId="5">
    <w:abstractNumId w:val="15"/>
  </w:num>
  <w:num w:numId="6">
    <w:abstractNumId w:val="3"/>
  </w:num>
  <w:num w:numId="7">
    <w:abstractNumId w:val="25"/>
  </w:num>
  <w:num w:numId="8">
    <w:abstractNumId w:val="44"/>
  </w:num>
  <w:num w:numId="9">
    <w:abstractNumId w:val="19"/>
  </w:num>
  <w:num w:numId="10">
    <w:abstractNumId w:val="2"/>
  </w:num>
  <w:num w:numId="11">
    <w:abstractNumId w:val="0"/>
  </w:num>
  <w:num w:numId="12">
    <w:abstractNumId w:val="24"/>
  </w:num>
  <w:num w:numId="13">
    <w:abstractNumId w:val="5"/>
  </w:num>
  <w:num w:numId="14">
    <w:abstractNumId w:val="38"/>
  </w:num>
  <w:num w:numId="15">
    <w:abstractNumId w:val="37"/>
  </w:num>
  <w:num w:numId="16">
    <w:abstractNumId w:val="21"/>
  </w:num>
  <w:num w:numId="17">
    <w:abstractNumId w:val="11"/>
  </w:num>
  <w:num w:numId="18">
    <w:abstractNumId w:val="7"/>
  </w:num>
  <w:num w:numId="19">
    <w:abstractNumId w:val="39"/>
  </w:num>
  <w:num w:numId="20">
    <w:abstractNumId w:val="18"/>
  </w:num>
  <w:num w:numId="21">
    <w:abstractNumId w:val="41"/>
  </w:num>
  <w:num w:numId="22">
    <w:abstractNumId w:val="13"/>
  </w:num>
  <w:num w:numId="23">
    <w:abstractNumId w:val="16"/>
  </w:num>
  <w:num w:numId="24">
    <w:abstractNumId w:val="29"/>
  </w:num>
  <w:num w:numId="25">
    <w:abstractNumId w:val="20"/>
  </w:num>
  <w:num w:numId="26">
    <w:abstractNumId w:val="4"/>
  </w:num>
  <w:num w:numId="27">
    <w:abstractNumId w:val="10"/>
  </w:num>
  <w:num w:numId="28">
    <w:abstractNumId w:val="28"/>
  </w:num>
  <w:num w:numId="29">
    <w:abstractNumId w:val="12"/>
  </w:num>
  <w:num w:numId="30">
    <w:abstractNumId w:val="34"/>
  </w:num>
  <w:num w:numId="31">
    <w:abstractNumId w:val="27"/>
  </w:num>
  <w:num w:numId="32">
    <w:abstractNumId w:val="36"/>
  </w:num>
  <w:num w:numId="3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num>
  <w:num w:numId="35">
    <w:abstractNumId w:val="0"/>
  </w:num>
  <w:num w:numId="36">
    <w:abstractNumId w:val="30"/>
  </w:num>
  <w:num w:numId="37">
    <w:abstractNumId w:val="22"/>
  </w:num>
  <w:num w:numId="38">
    <w:abstractNumId w:val="31"/>
  </w:num>
  <w:num w:numId="39">
    <w:abstractNumId w:val="23"/>
  </w:num>
  <w:num w:numId="40">
    <w:abstractNumId w:val="33"/>
  </w:num>
  <w:num w:numId="41">
    <w:abstractNumId w:val="43"/>
  </w:num>
  <w:num w:numId="42">
    <w:abstractNumId w:val="22"/>
    <w:lvlOverride w:ilvl="0">
      <w:startOverride w:val="4"/>
    </w:lvlOverride>
  </w:num>
  <w:num w:numId="43">
    <w:abstractNumId w:val="1"/>
  </w:num>
  <w:num w:numId="44">
    <w:abstractNumId w:val="32"/>
  </w:num>
  <w:num w:numId="45">
    <w:abstractNumId w:val="17"/>
  </w:num>
  <w:num w:numId="46">
    <w:abstractNumId w:val="35"/>
  </w:num>
  <w:num w:numId="47">
    <w:abstractNumId w:val="14"/>
  </w:num>
  <w:num w:numId="48">
    <w:abstractNumId w:val="8"/>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332"/>
    <w:rsid w:val="00004141"/>
    <w:rsid w:val="000058D9"/>
    <w:rsid w:val="00012F59"/>
    <w:rsid w:val="000350F9"/>
    <w:rsid w:val="000360E2"/>
    <w:rsid w:val="00045EDE"/>
    <w:rsid w:val="00074B24"/>
    <w:rsid w:val="00075028"/>
    <w:rsid w:val="0009296B"/>
    <w:rsid w:val="000963B3"/>
    <w:rsid w:val="00097AD7"/>
    <w:rsid w:val="000B0E25"/>
    <w:rsid w:val="000D714D"/>
    <w:rsid w:val="000E7EE8"/>
    <w:rsid w:val="000F1159"/>
    <w:rsid w:val="000F2AC8"/>
    <w:rsid w:val="00103510"/>
    <w:rsid w:val="00115126"/>
    <w:rsid w:val="0015416E"/>
    <w:rsid w:val="0016141F"/>
    <w:rsid w:val="00161D60"/>
    <w:rsid w:val="00170FB4"/>
    <w:rsid w:val="00173575"/>
    <w:rsid w:val="00187C5A"/>
    <w:rsid w:val="001A2F06"/>
    <w:rsid w:val="001C6C91"/>
    <w:rsid w:val="001E2E42"/>
    <w:rsid w:val="001E2F7E"/>
    <w:rsid w:val="001F0577"/>
    <w:rsid w:val="00203272"/>
    <w:rsid w:val="002252EC"/>
    <w:rsid w:val="00230BB9"/>
    <w:rsid w:val="002528A4"/>
    <w:rsid w:val="00253251"/>
    <w:rsid w:val="00255331"/>
    <w:rsid w:val="0026502D"/>
    <w:rsid w:val="00266515"/>
    <w:rsid w:val="00274977"/>
    <w:rsid w:val="002813E1"/>
    <w:rsid w:val="002826DD"/>
    <w:rsid w:val="00290D96"/>
    <w:rsid w:val="002A3A54"/>
    <w:rsid w:val="002B0438"/>
    <w:rsid w:val="002C7947"/>
    <w:rsid w:val="002D1347"/>
    <w:rsid w:val="002E4EAD"/>
    <w:rsid w:val="002F0112"/>
    <w:rsid w:val="002F622C"/>
    <w:rsid w:val="003061F2"/>
    <w:rsid w:val="00313DBF"/>
    <w:rsid w:val="003331EE"/>
    <w:rsid w:val="0033436E"/>
    <w:rsid w:val="00343467"/>
    <w:rsid w:val="003503B0"/>
    <w:rsid w:val="00364D1A"/>
    <w:rsid w:val="00364E7F"/>
    <w:rsid w:val="003672A4"/>
    <w:rsid w:val="003765B0"/>
    <w:rsid w:val="0038405F"/>
    <w:rsid w:val="003A43CE"/>
    <w:rsid w:val="003A68B3"/>
    <w:rsid w:val="003C68B6"/>
    <w:rsid w:val="003D1215"/>
    <w:rsid w:val="003D513F"/>
    <w:rsid w:val="003F2593"/>
    <w:rsid w:val="003F71B7"/>
    <w:rsid w:val="00413E58"/>
    <w:rsid w:val="00421FE8"/>
    <w:rsid w:val="004252DB"/>
    <w:rsid w:val="00430106"/>
    <w:rsid w:val="0044164A"/>
    <w:rsid w:val="0044710A"/>
    <w:rsid w:val="00482790"/>
    <w:rsid w:val="004915D5"/>
    <w:rsid w:val="004A456D"/>
    <w:rsid w:val="004A6948"/>
    <w:rsid w:val="004A75D5"/>
    <w:rsid w:val="004C4360"/>
    <w:rsid w:val="004D1629"/>
    <w:rsid w:val="004F719D"/>
    <w:rsid w:val="0050137A"/>
    <w:rsid w:val="00503141"/>
    <w:rsid w:val="0052203D"/>
    <w:rsid w:val="00537DC4"/>
    <w:rsid w:val="00557948"/>
    <w:rsid w:val="00577A92"/>
    <w:rsid w:val="00586E51"/>
    <w:rsid w:val="005A09A1"/>
    <w:rsid w:val="005A55B8"/>
    <w:rsid w:val="005A7D93"/>
    <w:rsid w:val="005E6E1A"/>
    <w:rsid w:val="00614828"/>
    <w:rsid w:val="00630699"/>
    <w:rsid w:val="00633DCF"/>
    <w:rsid w:val="00635965"/>
    <w:rsid w:val="0063753D"/>
    <w:rsid w:val="006409B3"/>
    <w:rsid w:val="00642F7C"/>
    <w:rsid w:val="00644DC3"/>
    <w:rsid w:val="006500A4"/>
    <w:rsid w:val="00651B65"/>
    <w:rsid w:val="00696E58"/>
    <w:rsid w:val="006E2911"/>
    <w:rsid w:val="00711276"/>
    <w:rsid w:val="007226CE"/>
    <w:rsid w:val="007455F7"/>
    <w:rsid w:val="007631ED"/>
    <w:rsid w:val="00763471"/>
    <w:rsid w:val="00774A7F"/>
    <w:rsid w:val="0077794D"/>
    <w:rsid w:val="007A4E77"/>
    <w:rsid w:val="007A6A25"/>
    <w:rsid w:val="007A76AC"/>
    <w:rsid w:val="007B194A"/>
    <w:rsid w:val="007B1C16"/>
    <w:rsid w:val="007B70C2"/>
    <w:rsid w:val="007C25E8"/>
    <w:rsid w:val="007F5BB2"/>
    <w:rsid w:val="00835B3B"/>
    <w:rsid w:val="008517AF"/>
    <w:rsid w:val="00864D58"/>
    <w:rsid w:val="00876E43"/>
    <w:rsid w:val="00880EB4"/>
    <w:rsid w:val="00894FAC"/>
    <w:rsid w:val="008A78F1"/>
    <w:rsid w:val="008B29B7"/>
    <w:rsid w:val="008B2AC8"/>
    <w:rsid w:val="008B50DE"/>
    <w:rsid w:val="008B70FB"/>
    <w:rsid w:val="008B7317"/>
    <w:rsid w:val="008B7D1A"/>
    <w:rsid w:val="008C3561"/>
    <w:rsid w:val="008F1F4E"/>
    <w:rsid w:val="008F3587"/>
    <w:rsid w:val="0090198C"/>
    <w:rsid w:val="009332A7"/>
    <w:rsid w:val="00940BE8"/>
    <w:rsid w:val="00941946"/>
    <w:rsid w:val="00952EB7"/>
    <w:rsid w:val="00962AB3"/>
    <w:rsid w:val="0097464F"/>
    <w:rsid w:val="0099042C"/>
    <w:rsid w:val="009D5E66"/>
    <w:rsid w:val="009E3209"/>
    <w:rsid w:val="009E7D34"/>
    <w:rsid w:val="00A14597"/>
    <w:rsid w:val="00A31B0C"/>
    <w:rsid w:val="00A3395D"/>
    <w:rsid w:val="00A36FB9"/>
    <w:rsid w:val="00A410B3"/>
    <w:rsid w:val="00A527F0"/>
    <w:rsid w:val="00A94904"/>
    <w:rsid w:val="00AE112C"/>
    <w:rsid w:val="00AE1FD6"/>
    <w:rsid w:val="00B06084"/>
    <w:rsid w:val="00B079D3"/>
    <w:rsid w:val="00B305DB"/>
    <w:rsid w:val="00B35501"/>
    <w:rsid w:val="00B64221"/>
    <w:rsid w:val="00B82DF9"/>
    <w:rsid w:val="00B847C6"/>
    <w:rsid w:val="00BA1B22"/>
    <w:rsid w:val="00BA7541"/>
    <w:rsid w:val="00BC23A5"/>
    <w:rsid w:val="00BD7E40"/>
    <w:rsid w:val="00BE1AF8"/>
    <w:rsid w:val="00C04ABD"/>
    <w:rsid w:val="00C36B1F"/>
    <w:rsid w:val="00C37253"/>
    <w:rsid w:val="00C37D34"/>
    <w:rsid w:val="00C50FC5"/>
    <w:rsid w:val="00C648C5"/>
    <w:rsid w:val="00C64CFF"/>
    <w:rsid w:val="00C7087D"/>
    <w:rsid w:val="00C74DDE"/>
    <w:rsid w:val="00C8234C"/>
    <w:rsid w:val="00C87E9E"/>
    <w:rsid w:val="00C96160"/>
    <w:rsid w:val="00CA5AFE"/>
    <w:rsid w:val="00CB13A7"/>
    <w:rsid w:val="00CB19F7"/>
    <w:rsid w:val="00CB2440"/>
    <w:rsid w:val="00CB3643"/>
    <w:rsid w:val="00CC0EC5"/>
    <w:rsid w:val="00CD3F2D"/>
    <w:rsid w:val="00CE058D"/>
    <w:rsid w:val="00CF16BC"/>
    <w:rsid w:val="00D075E8"/>
    <w:rsid w:val="00D0774E"/>
    <w:rsid w:val="00D16060"/>
    <w:rsid w:val="00D212CB"/>
    <w:rsid w:val="00D349C5"/>
    <w:rsid w:val="00D37C48"/>
    <w:rsid w:val="00D420C4"/>
    <w:rsid w:val="00D570BC"/>
    <w:rsid w:val="00D74377"/>
    <w:rsid w:val="00D976D8"/>
    <w:rsid w:val="00DB5AF7"/>
    <w:rsid w:val="00DC3D1C"/>
    <w:rsid w:val="00DC613F"/>
    <w:rsid w:val="00DE28AC"/>
    <w:rsid w:val="00DE664E"/>
    <w:rsid w:val="00DE7C9B"/>
    <w:rsid w:val="00DE7DF6"/>
    <w:rsid w:val="00E043DE"/>
    <w:rsid w:val="00E06C70"/>
    <w:rsid w:val="00E12C1D"/>
    <w:rsid w:val="00E25072"/>
    <w:rsid w:val="00E4540E"/>
    <w:rsid w:val="00E60C19"/>
    <w:rsid w:val="00E67744"/>
    <w:rsid w:val="00E80889"/>
    <w:rsid w:val="00EA4216"/>
    <w:rsid w:val="00EA734D"/>
    <w:rsid w:val="00EB46CE"/>
    <w:rsid w:val="00EB6A73"/>
    <w:rsid w:val="00EC781B"/>
    <w:rsid w:val="00ED2F56"/>
    <w:rsid w:val="00ED5776"/>
    <w:rsid w:val="00ED7332"/>
    <w:rsid w:val="00EE3F52"/>
    <w:rsid w:val="00EF4D4D"/>
    <w:rsid w:val="00EF7BFC"/>
    <w:rsid w:val="00F15D14"/>
    <w:rsid w:val="00F3413E"/>
    <w:rsid w:val="00F436A4"/>
    <w:rsid w:val="00F56E5B"/>
    <w:rsid w:val="00F63F46"/>
    <w:rsid w:val="00F71FF7"/>
    <w:rsid w:val="00F73EA1"/>
    <w:rsid w:val="00F742C0"/>
    <w:rsid w:val="00F75AE7"/>
    <w:rsid w:val="00F77503"/>
    <w:rsid w:val="00FB534E"/>
    <w:rsid w:val="00FC0B18"/>
    <w:rsid w:val="00FC148F"/>
    <w:rsid w:val="00FE3075"/>
    <w:rsid w:val="00FE5FB6"/>
    <w:rsid w:val="00FE7484"/>
    <w:rsid w:val="00FF3D64"/>
    <w:rsid w:val="00FF4B33"/>
    <w:rsid w:val="00FF4D2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chartTrackingRefBased/>
  <w15:docId w15:val="{D90FC459-8C8E-4168-82C8-C3705A873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52203D"/>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Ttulo1">
    <w:name w:val="heading 1"/>
    <w:basedOn w:val="Normal"/>
    <w:next w:val="Normal"/>
    <w:link w:val="Ttulo1Car"/>
    <w:autoRedefine/>
    <w:uiPriority w:val="9"/>
    <w:qFormat/>
    <w:rsid w:val="0044164A"/>
    <w:pPr>
      <w:keepNext/>
      <w:keepLines/>
      <w:numPr>
        <w:numId w:val="37"/>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left="1134"/>
      <w:outlineLvl w:val="0"/>
    </w:pPr>
    <w:rPr>
      <w:rFonts w:ascii="Palatino Linotype" w:eastAsiaTheme="majorEastAsia" w:hAnsi="Palatino Linotype" w:cstheme="majorBidi"/>
      <w:b/>
      <w:color w:val="000000" w:themeColor="text1"/>
    </w:rPr>
  </w:style>
  <w:style w:type="paragraph" w:styleId="Ttulo2">
    <w:name w:val="heading 2"/>
    <w:basedOn w:val="Normal"/>
    <w:next w:val="Normal"/>
    <w:link w:val="Ttulo2Car"/>
    <w:uiPriority w:val="9"/>
    <w:unhideWhenUsed/>
    <w:qFormat/>
    <w:rsid w:val="00B82DF9"/>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742C0"/>
    <w:pPr>
      <w:keepNext/>
      <w:keepLines/>
      <w:spacing w:before="40"/>
      <w:outlineLvl w:val="2"/>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ED7332"/>
    <w:pPr>
      <w:ind w:left="720"/>
      <w:contextualSpacing/>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ED7332"/>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ED7332"/>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ED7332"/>
    <w:rPr>
      <w:vertAlign w:val="superscript"/>
    </w:rPr>
  </w:style>
  <w:style w:type="paragraph" w:styleId="Piedepgina">
    <w:name w:val="footer"/>
    <w:basedOn w:val="Normal"/>
    <w:link w:val="PiedepginaCar"/>
    <w:uiPriority w:val="99"/>
    <w:unhideWhenUsed/>
    <w:rsid w:val="00ED7332"/>
    <w:pPr>
      <w:tabs>
        <w:tab w:val="center" w:pos="4419"/>
        <w:tab w:val="right" w:pos="8838"/>
      </w:tabs>
    </w:pPr>
  </w:style>
  <w:style w:type="character" w:customStyle="1" w:styleId="PiedepginaCar">
    <w:name w:val="Pie de página Car"/>
    <w:basedOn w:val="Fuentedeprrafopredeter"/>
    <w:link w:val="Piedepgina"/>
    <w:uiPriority w:val="99"/>
    <w:rsid w:val="00ED7332"/>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1A2F06"/>
  </w:style>
  <w:style w:type="paragraph" w:styleId="Textodeglobo">
    <w:name w:val="Balloon Text"/>
    <w:basedOn w:val="Normal"/>
    <w:link w:val="TextodegloboCar"/>
    <w:uiPriority w:val="99"/>
    <w:semiHidden/>
    <w:unhideWhenUsed/>
    <w:rsid w:val="004C436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C4360"/>
    <w:rPr>
      <w:rFonts w:ascii="Segoe UI" w:hAnsi="Segoe UI" w:cs="Segoe UI"/>
      <w:sz w:val="18"/>
      <w:szCs w:val="18"/>
    </w:rPr>
  </w:style>
  <w:style w:type="paragraph" w:styleId="Encabezado">
    <w:name w:val="header"/>
    <w:basedOn w:val="Normal"/>
    <w:link w:val="EncabezadoCar"/>
    <w:uiPriority w:val="99"/>
    <w:unhideWhenUsed/>
    <w:rsid w:val="0050137A"/>
    <w:pPr>
      <w:tabs>
        <w:tab w:val="center" w:pos="4419"/>
        <w:tab w:val="right" w:pos="8838"/>
      </w:tabs>
    </w:pPr>
  </w:style>
  <w:style w:type="character" w:customStyle="1" w:styleId="EncabezadoCar">
    <w:name w:val="Encabezado Car"/>
    <w:basedOn w:val="Fuentedeprrafopredeter"/>
    <w:link w:val="Encabezado"/>
    <w:uiPriority w:val="99"/>
    <w:rsid w:val="0050137A"/>
  </w:style>
  <w:style w:type="character" w:styleId="Hipervnculo">
    <w:name w:val="Hyperlink"/>
    <w:basedOn w:val="Fuentedeprrafopredeter"/>
    <w:uiPriority w:val="99"/>
    <w:unhideWhenUsed/>
    <w:rsid w:val="00876E43"/>
    <w:rPr>
      <w:color w:val="0563C1" w:themeColor="hyperlink"/>
      <w:u w:val="single"/>
    </w:rPr>
  </w:style>
  <w:style w:type="paragraph" w:customStyle="1" w:styleId="Cuerpo">
    <w:name w:val="Cuerpo"/>
    <w:rsid w:val="004252DB"/>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val="es-ES_tradnl" w:eastAsia="es-MX"/>
    </w:rPr>
  </w:style>
  <w:style w:type="character" w:customStyle="1" w:styleId="Ninguno">
    <w:name w:val="Ninguno"/>
    <w:rsid w:val="0052203D"/>
  </w:style>
  <w:style w:type="paragraph" w:customStyle="1" w:styleId="Notaalpie">
    <w:name w:val="Nota al pie"/>
    <w:rsid w:val="0052203D"/>
    <w:pPr>
      <w:pBdr>
        <w:top w:val="nil"/>
        <w:left w:val="nil"/>
        <w:bottom w:val="nil"/>
        <w:right w:val="nil"/>
        <w:between w:val="nil"/>
        <w:bar w:val="nil"/>
      </w:pBdr>
      <w:spacing w:after="0" w:line="240" w:lineRule="auto"/>
    </w:pPr>
    <w:rPr>
      <w:rFonts w:ascii="Helvetica" w:eastAsia="Helvetica" w:hAnsi="Helvetica" w:cs="Helvetica"/>
      <w:color w:val="000000"/>
      <w:bdr w:val="nil"/>
      <w:lang w:eastAsia="es-MX"/>
    </w:rPr>
  </w:style>
  <w:style w:type="character" w:customStyle="1" w:styleId="Hyperlink0">
    <w:name w:val="Hyperlink.0"/>
    <w:basedOn w:val="Hipervnculo"/>
    <w:rsid w:val="0052203D"/>
    <w:rPr>
      <w:color w:val="0563C1" w:themeColor="hyperlink"/>
      <w:u w:val="single"/>
    </w:rPr>
  </w:style>
  <w:style w:type="character" w:customStyle="1" w:styleId="cs9b0541cf">
    <w:name w:val="cs9b0541cf"/>
    <w:basedOn w:val="Fuentedeprrafopredeter"/>
    <w:rsid w:val="003A43CE"/>
  </w:style>
  <w:style w:type="character" w:customStyle="1" w:styleId="Ttulo1Car">
    <w:name w:val="Título 1 Car"/>
    <w:basedOn w:val="Fuentedeprrafopredeter"/>
    <w:link w:val="Ttulo1"/>
    <w:uiPriority w:val="9"/>
    <w:rsid w:val="0044164A"/>
    <w:rPr>
      <w:rFonts w:ascii="Palatino Linotype" w:eastAsiaTheme="majorEastAsia" w:hAnsi="Palatino Linotype" w:cstheme="majorBidi"/>
      <w:b/>
      <w:color w:val="000000" w:themeColor="text1"/>
      <w:sz w:val="24"/>
      <w:szCs w:val="24"/>
      <w:bdr w:val="nil"/>
    </w:rPr>
  </w:style>
  <w:style w:type="paragraph" w:styleId="TtulodeTDC">
    <w:name w:val="TOC Heading"/>
    <w:basedOn w:val="Ttulo1"/>
    <w:next w:val="Normal"/>
    <w:uiPriority w:val="39"/>
    <w:unhideWhenUsed/>
    <w:qFormat/>
    <w:rsid w:val="008B29B7"/>
    <w:pPr>
      <w:numPr>
        <w:numId w:val="0"/>
      </w:numPr>
      <w:outlineLvl w:val="9"/>
    </w:pPr>
    <w:rPr>
      <w:rFonts w:asciiTheme="majorHAnsi" w:hAnsiTheme="majorHAnsi"/>
      <w:b w:val="0"/>
      <w:color w:val="2E74B5" w:themeColor="accent1" w:themeShade="BF"/>
      <w:sz w:val="32"/>
      <w:bdr w:val="none" w:sz="0" w:space="0" w:color="auto"/>
      <w:lang w:eastAsia="es-MX"/>
    </w:rPr>
  </w:style>
  <w:style w:type="paragraph" w:styleId="TDC1">
    <w:name w:val="toc 1"/>
    <w:aliases w:val="Índice"/>
    <w:basedOn w:val="Normal"/>
    <w:next w:val="Normal"/>
    <w:autoRedefine/>
    <w:uiPriority w:val="39"/>
    <w:unhideWhenUsed/>
    <w:qFormat/>
    <w:rsid w:val="00642F7C"/>
    <w:pPr>
      <w:tabs>
        <w:tab w:val="left" w:pos="660"/>
        <w:tab w:val="left" w:pos="1100"/>
        <w:tab w:val="right" w:leader="dot" w:pos="8828"/>
      </w:tabs>
      <w:spacing w:after="100" w:line="360" w:lineRule="auto"/>
      <w:ind w:left="709" w:hanging="425"/>
    </w:pPr>
    <w:rPr>
      <w:rFonts w:ascii="Palatino Linotype" w:hAnsi="Palatino Linotype"/>
    </w:rPr>
  </w:style>
  <w:style w:type="paragraph" w:styleId="Sinespaciado">
    <w:name w:val="No Spacing"/>
    <w:aliases w:val="Francesa"/>
    <w:link w:val="SinespaciadoCar"/>
    <w:uiPriority w:val="1"/>
    <w:qFormat/>
    <w:rsid w:val="008B29B7"/>
    <w:pPr>
      <w:spacing w:after="0" w:line="240" w:lineRule="auto"/>
    </w:pPr>
  </w:style>
  <w:style w:type="character" w:customStyle="1" w:styleId="SinespaciadoCar">
    <w:name w:val="Sin espaciado Car"/>
    <w:aliases w:val="Francesa Car"/>
    <w:link w:val="Sinespaciado"/>
    <w:uiPriority w:val="1"/>
    <w:locked/>
    <w:rsid w:val="007226CE"/>
  </w:style>
  <w:style w:type="character" w:customStyle="1" w:styleId="Ttulo2Car">
    <w:name w:val="Título 2 Car"/>
    <w:basedOn w:val="Fuentedeprrafopredeter"/>
    <w:link w:val="Ttulo2"/>
    <w:uiPriority w:val="9"/>
    <w:rsid w:val="00B82DF9"/>
    <w:rPr>
      <w:rFonts w:asciiTheme="majorHAnsi" w:eastAsiaTheme="majorEastAsia" w:hAnsiTheme="majorHAnsi" w:cstheme="majorBidi"/>
      <w:color w:val="2E74B5" w:themeColor="accent1" w:themeShade="BF"/>
      <w:sz w:val="26"/>
      <w:szCs w:val="26"/>
      <w:bdr w:val="nil"/>
    </w:rPr>
  </w:style>
  <w:style w:type="paragraph" w:styleId="TDC2">
    <w:name w:val="toc 2"/>
    <w:basedOn w:val="Normal"/>
    <w:next w:val="Normal"/>
    <w:autoRedefine/>
    <w:uiPriority w:val="39"/>
    <w:unhideWhenUsed/>
    <w:rsid w:val="00CF16BC"/>
    <w:pPr>
      <w:tabs>
        <w:tab w:val="left" w:pos="1276"/>
        <w:tab w:val="right" w:leader="dot" w:pos="8828"/>
      </w:tabs>
      <w:spacing w:after="100" w:line="480" w:lineRule="auto"/>
      <w:ind w:left="240"/>
    </w:pPr>
  </w:style>
  <w:style w:type="paragraph" w:styleId="Textocomentario">
    <w:name w:val="annotation text"/>
    <w:basedOn w:val="Normal"/>
    <w:link w:val="TextocomentarioCar"/>
    <w:uiPriority w:val="99"/>
    <w:semiHidden/>
    <w:unhideWhenUsed/>
    <w:rsid w:val="00FF4B33"/>
    <w:pPr>
      <w:pBdr>
        <w:top w:val="none" w:sz="0" w:space="0" w:color="auto"/>
        <w:left w:val="none" w:sz="0" w:space="0" w:color="auto"/>
        <w:bottom w:val="none" w:sz="0" w:space="0" w:color="auto"/>
        <w:right w:val="none" w:sz="0" w:space="0" w:color="auto"/>
        <w:between w:val="none" w:sz="0" w:space="0" w:color="auto"/>
        <w:bar w:val="none" w:sz="0" w:color="auto"/>
      </w:pBdr>
      <w:spacing w:after="160"/>
    </w:pPr>
    <w:rPr>
      <w:rFonts w:asciiTheme="minorHAnsi" w:eastAsiaTheme="minorHAnsi" w:hAnsiTheme="minorHAnsi" w:cstheme="minorBidi"/>
      <w:sz w:val="20"/>
      <w:szCs w:val="20"/>
      <w:bdr w:val="none" w:sz="0" w:space="0" w:color="auto"/>
    </w:rPr>
  </w:style>
  <w:style w:type="character" w:customStyle="1" w:styleId="TextocomentarioCar">
    <w:name w:val="Texto comentario Car"/>
    <w:basedOn w:val="Fuentedeprrafopredeter"/>
    <w:link w:val="Textocomentario"/>
    <w:uiPriority w:val="99"/>
    <w:semiHidden/>
    <w:rsid w:val="00FF4B33"/>
    <w:rPr>
      <w:sz w:val="20"/>
      <w:szCs w:val="20"/>
    </w:rPr>
  </w:style>
  <w:style w:type="character" w:customStyle="1" w:styleId="Ttulo3Car">
    <w:name w:val="Título 3 Car"/>
    <w:basedOn w:val="Fuentedeprrafopredeter"/>
    <w:link w:val="Ttulo3"/>
    <w:uiPriority w:val="9"/>
    <w:rsid w:val="00F742C0"/>
    <w:rPr>
      <w:rFonts w:asciiTheme="majorHAnsi" w:eastAsiaTheme="majorEastAsia" w:hAnsiTheme="majorHAnsi" w:cstheme="majorBidi"/>
      <w:color w:val="1F4D78" w:themeColor="accent1" w:themeShade="7F"/>
      <w:sz w:val="24"/>
      <w:szCs w:val="24"/>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8">
      <w:bodyDiv w:val="1"/>
      <w:marLeft w:val="0"/>
      <w:marRight w:val="0"/>
      <w:marTop w:val="0"/>
      <w:marBottom w:val="0"/>
      <w:divBdr>
        <w:top w:val="none" w:sz="0" w:space="0" w:color="auto"/>
        <w:left w:val="none" w:sz="0" w:space="0" w:color="auto"/>
        <w:bottom w:val="none" w:sz="0" w:space="0" w:color="auto"/>
        <w:right w:val="none" w:sz="0" w:space="0" w:color="auto"/>
      </w:divBdr>
    </w:div>
    <w:div w:id="841705541">
      <w:bodyDiv w:val="1"/>
      <w:marLeft w:val="0"/>
      <w:marRight w:val="0"/>
      <w:marTop w:val="0"/>
      <w:marBottom w:val="0"/>
      <w:divBdr>
        <w:top w:val="none" w:sz="0" w:space="0" w:color="auto"/>
        <w:left w:val="none" w:sz="0" w:space="0" w:color="auto"/>
        <w:bottom w:val="none" w:sz="0" w:space="0" w:color="auto"/>
        <w:right w:val="none" w:sz="0" w:space="0" w:color="auto"/>
      </w:divBdr>
    </w:div>
    <w:div w:id="1371300508">
      <w:bodyDiv w:val="1"/>
      <w:marLeft w:val="0"/>
      <w:marRight w:val="0"/>
      <w:marTop w:val="0"/>
      <w:marBottom w:val="0"/>
      <w:divBdr>
        <w:top w:val="none" w:sz="0" w:space="0" w:color="auto"/>
        <w:left w:val="none" w:sz="0" w:space="0" w:color="auto"/>
        <w:bottom w:val="none" w:sz="0" w:space="0" w:color="auto"/>
        <w:right w:val="none" w:sz="0" w:space="0" w:color="auto"/>
      </w:divBdr>
    </w:div>
    <w:div w:id="1696997113">
      <w:bodyDiv w:val="1"/>
      <w:marLeft w:val="0"/>
      <w:marRight w:val="0"/>
      <w:marTop w:val="0"/>
      <w:marBottom w:val="0"/>
      <w:divBdr>
        <w:top w:val="none" w:sz="0" w:space="0" w:color="auto"/>
        <w:left w:val="none" w:sz="0" w:space="0" w:color="auto"/>
        <w:bottom w:val="none" w:sz="0" w:space="0" w:color="auto"/>
        <w:right w:val="none" w:sz="0" w:space="0" w:color="auto"/>
      </w:divBdr>
    </w:div>
    <w:div w:id="1813131022">
      <w:bodyDiv w:val="1"/>
      <w:marLeft w:val="0"/>
      <w:marRight w:val="0"/>
      <w:marTop w:val="0"/>
      <w:marBottom w:val="0"/>
      <w:divBdr>
        <w:top w:val="none" w:sz="0" w:space="0" w:color="auto"/>
        <w:left w:val="none" w:sz="0" w:space="0" w:color="auto"/>
        <w:bottom w:val="none" w:sz="0" w:space="0" w:color="auto"/>
        <w:right w:val="none" w:sz="0" w:space="0" w:color="auto"/>
      </w:divBdr>
    </w:div>
    <w:div w:id="1852840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2C3900-E9F0-4850-A26C-1BCB05EE22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4765</Words>
  <Characters>26211</Characters>
  <Application>Microsoft Office Word</Application>
  <DocSecurity>0</DocSecurity>
  <Lines>218</Lines>
  <Paragraphs>61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30915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9</cp:revision>
  <cp:lastPrinted>2017-10-31T17:55:00Z</cp:lastPrinted>
  <dcterms:created xsi:type="dcterms:W3CDTF">2018-10-16T00:42:00Z</dcterms:created>
  <dcterms:modified xsi:type="dcterms:W3CDTF">2019-02-07T15:55:00Z</dcterms:modified>
</cp:coreProperties>
</file>